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0" w:before="1800"/>
        <w:jc w:val="center"/>
      </w:pPr>
      <w:r>
        <w:drawing>
          <wp:inline distT="0" distB="0" distL="0" distR="0">
            <wp:extent cx="3048000" cy="9048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before="600"/>
        <w:jc w:val="center"/>
      </w:pPr>
      <w:r>
        <w:rPr>
          <w:rFonts w:ascii="Calibri" w:cs="Calibri" w:eastAsia="Calibri" w:hAnsi="Calibri"/>
          <w:b/>
          <w:bCs/>
          <w:color w:val="0F172A"/>
          <w:sz w:val="72"/>
          <w:szCs w:val="72"/>
        </w:rPr>
        <w:t xml:space="preserve">Business Architecture</w:t>
      </w:r>
    </w:p>
    <w:p>
      <w:pPr>
        <w:spacing w:after="500"/>
        <w:jc w:val="center"/>
      </w:pPr>
      <w:r>
        <w:rPr>
          <w:rFonts w:ascii="Calibri" w:cs="Calibri" w:eastAsia="Calibri" w:hAnsi="Calibri"/>
          <w:b/>
          <w:bCs/>
          <w:color w:val="2563EB"/>
          <w:sz w:val="72"/>
          <w:szCs w:val="72"/>
        </w:rPr>
        <w:t xml:space="preserve">Maturity Assessment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75569"/>
          <w:sz w:val="24"/>
          <w:szCs w:val="24"/>
        </w:rPr>
        <w:t xml:space="preserve">A  C A P S T E R A   A S S E S S M E N T</w:t>
      </w:r>
    </w:p>
    <w:p>
      <w:pPr>
        <w:spacing w:after="2600"/>
        <w:jc w:val="center"/>
      </w:pPr>
      <w:r>
        <w:rPr>
          <w:rFonts w:ascii="Calibri" w:cs="Calibri" w:eastAsia="Calibri" w:hAnsi="Calibri"/>
          <w:i/>
          <w:iCs/>
          <w:color w:val="475569"/>
          <w:sz w:val="24"/>
          <w:szCs w:val="24"/>
        </w:rPr>
        <w:t xml:space="preserve">A scored self-assessment of your organization's business architecture practice</w:t>
      </w:r>
    </w:p>
    <w:p>
      <w:pPr>
        <w:spacing w:after="80"/>
        <w:jc w:val="center"/>
      </w:pPr>
      <w:r>
        <w:rPr>
          <w:rFonts w:ascii="Calibri" w:cs="Calibri" w:eastAsia="Calibri" w:hAnsi="Calibri"/>
          <w:b/>
          <w:bCs/>
          <w:color w:val="2563EB"/>
          <w:sz w:val="26"/>
          <w:szCs w:val="26"/>
        </w:rPr>
        <w:t xml:space="preserve">capstera.com</w:t>
      </w:r>
    </w:p>
    <w:p>
      <w:pPr>
        <w:jc w:val="center"/>
      </w:pPr>
      <w:r>
        <w:rPr>
          <w:rFonts w:ascii="Calibri" w:cs="Calibri" w:eastAsia="Calibri" w:hAnsi="Calibri"/>
          <w:color w:val="475569"/>
          <w:sz w:val="18"/>
          <w:szCs w:val="18"/>
        </w:rPr>
        <w:t xml:space="preserve">Free to use and adapt within your organization  ·  Not for resale</w:t>
      </w:r>
    </w:p>
    <w:p>
      <w:pPr>
        <w:sectPr>
          <w:pgSz w:w="12240" w:h="15840" w:orient="portrait"/>
          <w:pgMar w:top="1440" w:right="1440" w:bottom="1440" w:left="1440" w:header="708" w:footer="708" w:gutter="0"/>
          <w:pgNumType/>
          <w:docGrid w:linePitch="360"/>
        </w:sectPr>
      </w:pPr>
    </w:p>
    <w:p>
      <w:pPr>
        <w:pBdr>
          <w:bottom w:val="single" w:color="2563EB" w:sz="8" w:space="3"/>
        </w:pBdr>
        <w:spacing w:after="240"/>
      </w:pPr>
      <w:r>
        <w:rPr>
          <w:rFonts w:ascii="Calibri" w:cs="Calibri" w:eastAsia="Calibri" w:hAnsi="Calibri"/>
          <w:b/>
          <w:bCs/>
          <w:color w:val="0F172A"/>
          <w:sz w:val="32"/>
          <w:szCs w:val="32"/>
        </w:rPr>
        <w:t xml:space="preserve">Contents</w:t>
      </w:r>
    </w:p>
    <w:p>
      <w:pPr>
        <w:tabs>
          <w:tab w:val="right" w:pos="9360" w:leader="dot"/>
        </w:tabs>
        <w:spacing w:after="140" w:line="264"/>
      </w:pPr>
      <w:r>
        <w:rPr>
          <w:rFonts w:ascii="Calibri" w:cs="Calibri" w:eastAsia="Calibri" w:hAnsi="Calibri"/>
          <w:b/>
          <w:bCs/>
          <w:color w:val="0F172A"/>
          <w:sz w:val="22"/>
          <w:szCs w:val="22"/>
        </w:rPr>
        <w:t xml:space="preserve">Purpose of This Assessment</w:t>
      </w:r>
      <w:r>
        <w:rPr>
          <w:rFonts w:ascii="Calibri" w:cs="Calibri" w:eastAsia="Calibri" w:hAnsi="Calibri"/>
          <w:color w:val="0F172A"/>
          <w:sz w:val="22"/>
          <w:szCs w:val="22"/>
        </w:rPr>
        <w:t xml:space="preserve">	2</w:t>
      </w:r>
    </w:p>
    <w:p>
      <w:pPr>
        <w:tabs>
          <w:tab w:val="right" w:pos="9360" w:leader="dot"/>
        </w:tabs>
        <w:spacing w:after="140" w:line="264"/>
      </w:pPr>
      <w:r>
        <w:rPr>
          <w:rFonts w:ascii="Calibri" w:cs="Calibri" w:eastAsia="Calibri" w:hAnsi="Calibri"/>
          <w:b/>
          <w:bCs/>
          <w:color w:val="0F172A"/>
          <w:sz w:val="22"/>
          <w:szCs w:val="22"/>
        </w:rPr>
        <w:t xml:space="preserve">How to Conduct the Assessment</w:t>
      </w:r>
      <w:r>
        <w:rPr>
          <w:rFonts w:ascii="Calibri" w:cs="Calibri" w:eastAsia="Calibri" w:hAnsi="Calibri"/>
          <w:color w:val="0F172A"/>
          <w:sz w:val="22"/>
          <w:szCs w:val="22"/>
        </w:rPr>
        <w:t xml:space="preserve">	2</w:t>
      </w:r>
    </w:p>
    <w:p>
      <w:pPr>
        <w:tabs>
          <w:tab w:val="right" w:pos="9360" w:leader="dot"/>
        </w:tabs>
        <w:spacing w:after="140" w:line="264"/>
      </w:pPr>
      <w:r>
        <w:rPr>
          <w:rFonts w:ascii="Calibri" w:cs="Calibri" w:eastAsia="Calibri" w:hAnsi="Calibri"/>
          <w:b/>
          <w:bCs/>
          <w:color w:val="0F172A"/>
          <w:sz w:val="22"/>
          <w:szCs w:val="22"/>
        </w:rPr>
        <w:t xml:space="preserve">Assessment Categories and Questions</w:t>
      </w:r>
      <w:r>
        <w:rPr>
          <w:rFonts w:ascii="Calibri" w:cs="Calibri" w:eastAsia="Calibri" w:hAnsi="Calibri"/>
          <w:color w:val="0F172A"/>
          <w:sz w:val="22"/>
          <w:szCs w:val="22"/>
        </w:rPr>
        <w:t xml:space="preserve">	3</w:t>
      </w:r>
    </w:p>
    <w:p>
      <w:pPr>
        <w:tabs>
          <w:tab w:val="right" w:pos="9360" w:leader="dot"/>
        </w:tabs>
        <w:spacing w:after="100" w:line="264"/>
        <w:ind w:left="400"/>
      </w:pPr>
      <w:r>
        <w:rPr>
          <w:rFonts w:ascii="Calibri" w:cs="Calibri" w:eastAsia="Calibri" w:hAnsi="Calibri"/>
          <w:b w:val="false"/>
          <w:bCs w:val="false"/>
          <w:color w:val="475569"/>
          <w:sz w:val="20"/>
          <w:szCs w:val="20"/>
        </w:rPr>
        <w:t xml:space="preserve">Category 1: Capability Modeling</w:t>
      </w:r>
      <w:r>
        <w:rPr>
          <w:rFonts w:ascii="Calibri" w:cs="Calibri" w:eastAsia="Calibri" w:hAnsi="Calibri"/>
          <w:color w:val="475569"/>
          <w:sz w:val="20"/>
          <w:szCs w:val="20"/>
        </w:rPr>
        <w:t xml:space="preserve">	3</w:t>
      </w:r>
    </w:p>
    <w:p>
      <w:pPr>
        <w:tabs>
          <w:tab w:val="right" w:pos="9360" w:leader="dot"/>
        </w:tabs>
        <w:spacing w:after="100" w:line="264"/>
        <w:ind w:left="400"/>
      </w:pPr>
      <w:r>
        <w:rPr>
          <w:rFonts w:ascii="Calibri" w:cs="Calibri" w:eastAsia="Calibri" w:hAnsi="Calibri"/>
          <w:b w:val="false"/>
          <w:bCs w:val="false"/>
          <w:color w:val="475569"/>
          <w:sz w:val="20"/>
          <w:szCs w:val="20"/>
        </w:rPr>
        <w:t xml:space="preserve">Category 2: Value Streams &amp; Process Alignment</w:t>
      </w:r>
      <w:r>
        <w:rPr>
          <w:rFonts w:ascii="Calibri" w:cs="Calibri" w:eastAsia="Calibri" w:hAnsi="Calibri"/>
          <w:color w:val="475569"/>
          <w:sz w:val="20"/>
          <w:szCs w:val="20"/>
        </w:rPr>
        <w:t xml:space="preserve">	4</w:t>
      </w:r>
    </w:p>
    <w:p>
      <w:pPr>
        <w:tabs>
          <w:tab w:val="right" w:pos="9360" w:leader="dot"/>
        </w:tabs>
        <w:spacing w:after="100" w:line="264"/>
        <w:ind w:left="400"/>
      </w:pPr>
      <w:r>
        <w:rPr>
          <w:rFonts w:ascii="Calibri" w:cs="Calibri" w:eastAsia="Calibri" w:hAnsi="Calibri"/>
          <w:b w:val="false"/>
          <w:bCs w:val="false"/>
          <w:color w:val="475569"/>
          <w:sz w:val="20"/>
          <w:szCs w:val="20"/>
        </w:rPr>
        <w:t xml:space="preserve">Category 3: Strategy Linkage &amp; Prioritization</w:t>
      </w:r>
      <w:r>
        <w:rPr>
          <w:rFonts w:ascii="Calibri" w:cs="Calibri" w:eastAsia="Calibri" w:hAnsi="Calibri"/>
          <w:color w:val="475569"/>
          <w:sz w:val="20"/>
          <w:szCs w:val="20"/>
        </w:rPr>
        <w:t xml:space="preserve">	5</w:t>
      </w:r>
    </w:p>
    <w:p>
      <w:pPr>
        <w:tabs>
          <w:tab w:val="right" w:pos="9360" w:leader="dot"/>
        </w:tabs>
        <w:spacing w:after="100" w:line="264"/>
        <w:ind w:left="400"/>
      </w:pPr>
      <w:r>
        <w:rPr>
          <w:rFonts w:ascii="Calibri" w:cs="Calibri" w:eastAsia="Calibri" w:hAnsi="Calibri"/>
          <w:b w:val="false"/>
          <w:bCs w:val="false"/>
          <w:color w:val="475569"/>
          <w:sz w:val="20"/>
          <w:szCs w:val="20"/>
        </w:rPr>
        <w:t xml:space="preserve">Category 4: Governance &amp; Operating Rhythm</w:t>
      </w:r>
      <w:r>
        <w:rPr>
          <w:rFonts w:ascii="Calibri" w:cs="Calibri" w:eastAsia="Calibri" w:hAnsi="Calibri"/>
          <w:color w:val="475569"/>
          <w:sz w:val="20"/>
          <w:szCs w:val="20"/>
        </w:rPr>
        <w:t xml:space="preserve">	6</w:t>
      </w:r>
    </w:p>
    <w:p>
      <w:pPr>
        <w:tabs>
          <w:tab w:val="right" w:pos="9360" w:leader="dot"/>
        </w:tabs>
        <w:spacing w:after="100" w:line="264"/>
        <w:ind w:left="400"/>
      </w:pPr>
      <w:r>
        <w:rPr>
          <w:rFonts w:ascii="Calibri" w:cs="Calibri" w:eastAsia="Calibri" w:hAnsi="Calibri"/>
          <w:b w:val="false"/>
          <w:bCs w:val="false"/>
          <w:color w:val="475569"/>
          <w:sz w:val="20"/>
          <w:szCs w:val="20"/>
        </w:rPr>
        <w:t xml:space="preserve">Category 5: Stakeholder Engagement &amp; Communication</w:t>
      </w:r>
      <w:r>
        <w:rPr>
          <w:rFonts w:ascii="Calibri" w:cs="Calibri" w:eastAsia="Calibri" w:hAnsi="Calibri"/>
          <w:color w:val="475569"/>
          <w:sz w:val="20"/>
          <w:szCs w:val="20"/>
        </w:rPr>
        <w:t xml:space="preserve">	7</w:t>
      </w:r>
    </w:p>
    <w:p>
      <w:pPr>
        <w:tabs>
          <w:tab w:val="right" w:pos="9360" w:leader="dot"/>
        </w:tabs>
        <w:spacing w:after="100" w:line="264"/>
        <w:ind w:left="400"/>
      </w:pPr>
      <w:r>
        <w:rPr>
          <w:rFonts w:ascii="Calibri" w:cs="Calibri" w:eastAsia="Calibri" w:hAnsi="Calibri"/>
          <w:b w:val="false"/>
          <w:bCs w:val="false"/>
          <w:color w:val="475569"/>
          <w:sz w:val="20"/>
          <w:szCs w:val="20"/>
        </w:rPr>
        <w:t xml:space="preserve">Category 6: Tooling, Data &amp; Artifacts</w:t>
      </w:r>
      <w:r>
        <w:rPr>
          <w:rFonts w:ascii="Calibri" w:cs="Calibri" w:eastAsia="Calibri" w:hAnsi="Calibri"/>
          <w:color w:val="475569"/>
          <w:sz w:val="20"/>
          <w:szCs w:val="20"/>
        </w:rPr>
        <w:t xml:space="preserve">	8</w:t>
      </w:r>
    </w:p>
    <w:p>
      <w:pPr>
        <w:tabs>
          <w:tab w:val="right" w:pos="9360" w:leader="dot"/>
        </w:tabs>
        <w:spacing w:after="140" w:line="264"/>
      </w:pPr>
      <w:r>
        <w:rPr>
          <w:rFonts w:ascii="Calibri" w:cs="Calibri" w:eastAsia="Calibri" w:hAnsi="Calibri"/>
          <w:b/>
          <w:bCs/>
          <w:color w:val="0F172A"/>
          <w:sz w:val="22"/>
          <w:szCs w:val="22"/>
        </w:rPr>
        <w:t xml:space="preserve">Scoring and Interpretation</w:t>
      </w:r>
      <w:r>
        <w:rPr>
          <w:rFonts w:ascii="Calibri" w:cs="Calibri" w:eastAsia="Calibri" w:hAnsi="Calibri"/>
          <w:color w:val="0F172A"/>
          <w:sz w:val="22"/>
          <w:szCs w:val="22"/>
        </w:rPr>
        <w:t xml:space="preserve">	9</w:t>
      </w:r>
    </w:p>
    <w:p>
      <w:pPr>
        <w:tabs>
          <w:tab w:val="right" w:pos="9360" w:leader="dot"/>
        </w:tabs>
        <w:spacing w:after="140" w:line="264"/>
      </w:pPr>
      <w:r>
        <w:rPr>
          <w:rFonts w:ascii="Calibri" w:cs="Calibri" w:eastAsia="Calibri" w:hAnsi="Calibri"/>
          <w:b/>
          <w:bCs/>
          <w:color w:val="0F172A"/>
          <w:sz w:val="22"/>
          <w:szCs w:val="22"/>
        </w:rPr>
        <w:t xml:space="preserve">Post-Assessment Steps</w:t>
      </w:r>
      <w:r>
        <w:rPr>
          <w:rFonts w:ascii="Calibri" w:cs="Calibri" w:eastAsia="Calibri" w:hAnsi="Calibri"/>
          <w:color w:val="0F172A"/>
          <w:sz w:val="22"/>
          <w:szCs w:val="22"/>
        </w:rPr>
        <w:t xml:space="preserve">	10</w:t>
      </w:r>
    </w:p>
    <w:p>
      <w:pPr>
        <w:spacing w:before="400"/>
      </w:pPr>
      <w:r>
        <w:rPr>
          <w:rFonts w:ascii="Calibri" w:cs="Calibri" w:eastAsia="Calibri" w:hAnsi="Calibri"/>
          <w:i/>
          <w:iCs/>
          <w:color w:val="475569"/>
          <w:sz w:val="20"/>
          <w:szCs w:val="20"/>
        </w:rPr>
        <w:t xml:space="preserve">About this assessment: 6 categories · 30 questions · scored 1–4 · overall maturity out of 120. Plan on 60–90 minutes with a cross-functional team.</w:t>
      </w:r>
    </w:p>
    <w:p>
      <w:r>
        <w:br w:type="page"/>
      </w:r>
    </w:p>
    <w:p>
      <w:pPr>
        <w:pStyle w:val="Heading1"/>
      </w:pPr>
      <w:r>
        <w:t xml:space="preserve">Purpose of This Assessment</w:t>
      </w:r>
    </w:p>
    <w:p>
      <w:pPr>
        <w:spacing w:after="140" w:line="276"/>
      </w:pPr>
      <w:r>
        <w:rPr>
          <w:color w:val="1E293B"/>
          <w:sz w:val="22"/>
          <w:szCs w:val="22"/>
        </w:rPr>
        <w:t xml:space="preserve">Business architecture succeeds or fails on practice, not theory. An organization can own a capability model, a set of value stream maps, and a well-stocked repository and still find that none of it changes how decisions are made. This assessment measures the difference: not whether the artifacts exist, but whether they are trusted, connected, and pulled into the decisions that shape the business.</w:t>
      </w:r>
    </w:p>
    <w:p>
      <w:pPr>
        <w:spacing w:after="140" w:line="276"/>
      </w:pPr>
      <w:r>
        <w:rPr>
          <w:color w:val="1E293B"/>
          <w:sz w:val="22"/>
          <w:szCs w:val="22"/>
        </w:rPr>
        <w:t xml:space="preserve">The assessment covers six dimensions of a working practice — capability modeling, value streams and process alignment, strategy linkage, governance, stakeholder engagement, and the tooling and artifacts that hold it all together. Thirty questions, each scored from 1 to 4 against concrete descriptions, produce a profile of where your practice is strong and where the next investment of effort will pay off most. It is framework-neutral: it assesses how your practice operates, whatever method or notation you use.</w:t>
      </w:r>
    </w:p>
    <w:p>
      <w:pPr>
        <w:pStyle w:val="Heading1"/>
      </w:pPr>
      <w:r>
        <w:t xml:space="preserve">How to Conduct the Assessment</w:t>
      </w:r>
    </w:p>
    <w:p>
      <w:pPr>
        <w:pStyle w:val="ListParagraph"/>
        <w:numPr>
          <w:ilvl w:val="0"/>
          <w:numId w:val="2"/>
        </w:numPr>
        <w:spacing w:after="120" w:line="276"/>
      </w:pPr>
      <w:r>
        <w:rPr>
          <w:b/>
          <w:bCs/>
          <w:color w:val="0F172A"/>
          <w:sz w:val="22"/>
          <w:szCs w:val="22"/>
        </w:rPr>
        <w:t xml:space="preserve">Gather a cross-functional team. </w:t>
      </w:r>
      <w:r>
        <w:rPr>
          <w:color w:val="1E293B"/>
          <w:sz w:val="22"/>
          <w:szCs w:val="22"/>
        </w:rPr>
        <w:t xml:space="preserve">Include people who produce architecture and people who consume it — architects, strategy and planning leads, product or business unit owners, and a delivery or transformation representative. A group of four to eight works well.</w:t>
      </w:r>
    </w:p>
    <w:p>
      <w:pPr>
        <w:pStyle w:val="ListParagraph"/>
        <w:numPr>
          <w:ilvl w:val="0"/>
          <w:numId w:val="2"/>
        </w:numPr>
        <w:spacing w:after="120" w:line="276"/>
      </w:pPr>
      <w:r>
        <w:rPr>
          <w:b/>
          <w:bCs/>
          <w:color w:val="0F172A"/>
          <w:sz w:val="22"/>
          <w:szCs w:val="22"/>
        </w:rPr>
        <w:t xml:space="preserve">Score honestly, as a group. </w:t>
      </w:r>
      <w:r>
        <w:rPr>
          <w:color w:val="1E293B"/>
          <w:sz w:val="22"/>
          <w:szCs w:val="22"/>
        </w:rPr>
        <w:t xml:space="preserve">For each question, choose the description that best matches how things actually work today — not the aspiration, the policy, or the pilot. If the team is split between two levels, take the lower one; optimistic scoring only hides the work.</w:t>
      </w:r>
    </w:p>
    <w:p>
      <w:pPr>
        <w:pStyle w:val="ListParagraph"/>
        <w:numPr>
          <w:ilvl w:val="0"/>
          <w:numId w:val="2"/>
        </w:numPr>
        <w:spacing w:after="120" w:line="276"/>
      </w:pPr>
      <w:r>
        <w:rPr>
          <w:b/>
          <w:bCs/>
          <w:color w:val="0F172A"/>
          <w:sz w:val="22"/>
          <w:szCs w:val="22"/>
        </w:rPr>
        <w:t xml:space="preserve">Tally per category. </w:t>
      </w:r>
      <w:r>
        <w:rPr>
          <w:color w:val="1E293B"/>
          <w:sz w:val="22"/>
          <w:szCs w:val="22"/>
        </w:rPr>
        <w:t xml:space="preserve">Enter each score in the “Your score” column, total each category (maximum 20), then add the six category totals for an overall score out of 120.</w:t>
      </w:r>
    </w:p>
    <w:p>
      <w:pPr>
        <w:pStyle w:val="ListParagraph"/>
        <w:numPr>
          <w:ilvl w:val="0"/>
          <w:numId w:val="2"/>
        </w:numPr>
        <w:spacing w:after="120" w:line="276"/>
      </w:pPr>
      <w:r>
        <w:rPr>
          <w:b/>
          <w:bCs/>
          <w:color w:val="0F172A"/>
          <w:sz w:val="22"/>
          <w:szCs w:val="22"/>
        </w:rPr>
        <w:t xml:space="preserve">Interpret and act. </w:t>
      </w:r>
      <w:r>
        <w:rPr>
          <w:color w:val="1E293B"/>
          <w:sz w:val="22"/>
          <w:szCs w:val="22"/>
        </w:rPr>
        <w:t xml:space="preserve">Read the band guidance, then act on the shape of the profile: your weakest one or two categories are usually a better guide to next steps than the overall number.</w:t>
      </w:r>
    </w:p>
    <w:p>
      <w:pPr>
        <w:spacing w:after="140" w:line="276"/>
      </w:pPr>
      <w:r>
        <w:rPr>
          <w:color w:val="1E293B"/>
          <w:sz w:val="22"/>
          <w:szCs w:val="22"/>
        </w:rPr>
        <w:t xml:space="preserve">Plan on 60–90 minutes for a first pass. Where the team disagrees, note why — the disagreements are often more informative than the scores.</w:t>
      </w:r>
    </w:p>
    <w:p>
      <w:r>
        <w:br w:type="page"/>
      </w:r>
    </w:p>
    <w:p>
      <w:pPr>
        <w:pStyle w:val="Heading1"/>
      </w:pPr>
      <w:r>
        <w:t xml:space="preserve">Assessment Categories and Questions</w:t>
      </w:r>
    </w:p>
    <w:p>
      <w:pPr>
        <w:spacing w:after="140" w:line="276"/>
      </w:pPr>
      <w:r>
        <w:rPr>
          <w:color w:val="1E293B"/>
          <w:sz w:val="22"/>
          <w:szCs w:val="22"/>
        </w:rPr>
        <w:t xml:space="preserve">Each question offers four descriptions. Score 1–4 by selecting the one closest to your current reality, and record it in the final column.</w:t>
      </w:r>
    </w:p>
    <w:p>
      <w:pPr>
        <w:pStyle w:val="Heading2"/>
      </w:pPr>
      <w:r>
        <w:t xml:space="preserve">Category 1: Capability Modeling</w:t>
      </w:r>
    </w:p>
    <w:p>
      <w:pPr>
        <w:spacing w:after="160" w:line="264"/>
      </w:pPr>
      <w:r>
        <w:rPr>
          <w:rFonts w:ascii="Calibri" w:cs="Calibri" w:eastAsia="Calibri" w:hAnsi="Calibri"/>
          <w:i/>
          <w:iCs/>
          <w:color w:val="475569"/>
          <w:sz w:val="20"/>
          <w:szCs w:val="20"/>
        </w:rPr>
        <w:t xml:space="preserve">How well the organization describes what the business does — as a stable, structured capability model that decision-makers actually use.</w:t>
      </w:r>
    </w:p>
    <w:tbl>
      <w:tblPr>
        <w:tblW w:type="dxa" w:w="9360"/>
        <w:tblBorders>
          <w:top w:val="single" w:color="C7D2E5" w:sz="4"/>
          <w:left w:val="single" w:color="C7D2E5" w:sz="4"/>
          <w:bottom w:val="single" w:color="C7D2E5" w:sz="4"/>
          <w:right w:val="single" w:color="C7D2E5" w:sz="4"/>
          <w:insideH w:val="single" w:color="C7D2E5" w:sz="4"/>
          <w:insideV w:val="single" w:color="C7D2E5" w:sz="4"/>
        </w:tblBorders>
      </w:tblPr>
      <w:tblGrid>
        <w:gridCol w:w="2660"/>
        <w:gridCol w:w="1480"/>
        <w:gridCol w:w="1480"/>
        <w:gridCol w:w="1480"/>
        <w:gridCol w:w="1480"/>
        <w:gridCol w:w="780"/>
      </w:tblGrid>
      <w:tr>
        <w:trPr>
          <w:tblHeader/>
        </w:trPr>
        <w:tc>
          <w:tcPr>
            <w:tcW w:type="dxa" w:w="266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Assessment question</w:t>
            </w:r>
          </w:p>
        </w:tc>
        <w:tc>
          <w:tcPr>
            <w:tcW w:type="dxa" w:w="14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1</w:t>
            </w:r>
          </w:p>
        </w:tc>
        <w:tc>
          <w:tcPr>
            <w:tcW w:type="dxa" w:w="14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2</w:t>
            </w:r>
          </w:p>
        </w:tc>
        <w:tc>
          <w:tcPr>
            <w:tcW w:type="dxa" w:w="14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3</w:t>
            </w:r>
          </w:p>
        </w:tc>
        <w:tc>
          <w:tcPr>
            <w:tcW w:type="dxa" w:w="14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4</w:t>
            </w:r>
          </w:p>
        </w:tc>
        <w:tc>
          <w:tcPr>
            <w:tcW w:type="dxa" w:w="7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Your score</w:t>
            </w:r>
          </w:p>
        </w:tc>
      </w:tr>
      <w:tr>
        <w:trPr>
          <w:cantSplit/>
        </w:trPr>
        <w:tc>
          <w:tcPr>
            <w:tcW w:type="dxa" w:w="266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1.1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Does the organization maintain a business capability model that covers the full enterprise?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No formal capability model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Partial draft covering some domains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Full model exists, unevenly adopted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Adopted, maintained, and versioned</w:t>
            </w:r>
          </w:p>
        </w:tc>
        <w:tc>
          <w:tcPr>
            <w:tcW w:type="dxa" w:w="7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266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1.2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Are capabilities defined by what the business does — independent of org structure, processes, and systems?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Model mirrors the org chart or application list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Mixed; frequent process and system bleed-through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Mostly capability-based, with a few lapses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Consistently capability-based and stable over reorgs</w:t>
            </w:r>
          </w:p>
        </w:tc>
        <w:tc>
          <w:tcPr>
            <w:tcW w:type="dxa" w:w="7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266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1.3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Is the model decomposed to a depth that supports real decisions (typically two to three levels)?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A single flat list of names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One level down, uneven coverage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Two to three levels in priority domains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Right-sized depth across the enterprise</w:t>
            </w:r>
          </w:p>
        </w:tc>
        <w:tc>
          <w:tcPr>
            <w:tcW w:type="dxa" w:w="7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266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1.4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Are capabilities assessed — for maturity, performance, and strategic importance — against defined criteria?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No capability assessments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Ad hoc, subjective ratings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Defined criteria, partial coverage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Regular, criteria-based assessments and heatmaps</w:t>
            </w:r>
          </w:p>
        </w:tc>
        <w:tc>
          <w:tcPr>
            <w:tcW w:type="dxa" w:w="7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266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1.5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Is there a single agreed source of truth for the model, with clear ownership and change control?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Multiple conflicting versions circulate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One version, but no named owner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Named owner, informal change control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Owned, governed, and change-logged</w:t>
            </w:r>
          </w:p>
        </w:tc>
        <w:tc>
          <w:tcPr>
            <w:tcW w:type="dxa" w:w="7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8580"/>
            <w:gridSpan w:val="5"/>
            <w:shd w:fill="EEF2FA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Category total (maximum 20)</w:t>
            </w:r>
          </w:p>
        </w:tc>
        <w:tc>
          <w:tcPr>
            <w:tcW w:type="dxa" w:w="780"/>
            <w:shd w:fill="EEF2F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</w:pPr>
      <w:r>
        <w:t xml:space="preserve">Category 2: Value Streams &amp; Process Alignment</w:t>
      </w:r>
    </w:p>
    <w:p>
      <w:pPr>
        <w:spacing w:after="160" w:line="264"/>
      </w:pPr>
      <w:r>
        <w:rPr>
          <w:rFonts w:ascii="Calibri" w:cs="Calibri" w:eastAsia="Calibri" w:hAnsi="Calibri"/>
          <w:i/>
          <w:iCs/>
          <w:color w:val="475569"/>
          <w:sz w:val="20"/>
          <w:szCs w:val="20"/>
        </w:rPr>
        <w:t xml:space="preserve">Whether the organization understands how value is delivered end to end, and connects that view to capabilities and processes.</w:t>
      </w:r>
    </w:p>
    <w:tbl>
      <w:tblPr>
        <w:tblW w:type="dxa" w:w="9360"/>
        <w:tblBorders>
          <w:top w:val="single" w:color="C7D2E5" w:sz="4"/>
          <w:left w:val="single" w:color="C7D2E5" w:sz="4"/>
          <w:bottom w:val="single" w:color="C7D2E5" w:sz="4"/>
          <w:right w:val="single" w:color="C7D2E5" w:sz="4"/>
          <w:insideH w:val="single" w:color="C7D2E5" w:sz="4"/>
          <w:insideV w:val="single" w:color="C7D2E5" w:sz="4"/>
        </w:tblBorders>
      </w:tblPr>
      <w:tblGrid>
        <w:gridCol w:w="2660"/>
        <w:gridCol w:w="1480"/>
        <w:gridCol w:w="1480"/>
        <w:gridCol w:w="1480"/>
        <w:gridCol w:w="1480"/>
        <w:gridCol w:w="780"/>
      </w:tblGrid>
      <w:tr>
        <w:trPr>
          <w:tblHeader/>
        </w:trPr>
        <w:tc>
          <w:tcPr>
            <w:tcW w:type="dxa" w:w="266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Assessment question</w:t>
            </w:r>
          </w:p>
        </w:tc>
        <w:tc>
          <w:tcPr>
            <w:tcW w:type="dxa" w:w="14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1</w:t>
            </w:r>
          </w:p>
        </w:tc>
        <w:tc>
          <w:tcPr>
            <w:tcW w:type="dxa" w:w="14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2</w:t>
            </w:r>
          </w:p>
        </w:tc>
        <w:tc>
          <w:tcPr>
            <w:tcW w:type="dxa" w:w="14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3</w:t>
            </w:r>
          </w:p>
        </w:tc>
        <w:tc>
          <w:tcPr>
            <w:tcW w:type="dxa" w:w="14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4</w:t>
            </w:r>
          </w:p>
        </w:tc>
        <w:tc>
          <w:tcPr>
            <w:tcW w:type="dxa" w:w="7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Your score</w:t>
            </w:r>
          </w:p>
        </w:tc>
      </w:tr>
      <w:tr>
        <w:trPr>
          <w:cantSplit/>
        </w:trPr>
        <w:tc>
          <w:tcPr>
            <w:tcW w:type="dxa" w:w="266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2.1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Are value streams documented for the organization's key stakeholder outcomes?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No value streams documented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A few exist, in inconsistent formats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Major streams documented consistently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Full coverage, actively used in decisions</w:t>
            </w:r>
          </w:p>
        </w:tc>
        <w:tc>
          <w:tcPr>
            <w:tcW w:type="dxa" w:w="7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266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2.2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Are value stream stages cross-mapped to the capabilities that enable them?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No mapping exists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Partial mapping, largely out of date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Mapped for the major streams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Mapped, maintained, and decision-ready</w:t>
            </w:r>
          </w:p>
        </w:tc>
        <w:tc>
          <w:tcPr>
            <w:tcW w:type="dxa" w:w="7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266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2.3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Are value streams and process models kept distinct, with clear linkage between the two?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The terms are used interchangeably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Distinction understood by only a few people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Distinct artifacts, but weak linkage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Distinct artifacts with maintained traceability</w:t>
            </w:r>
          </w:p>
        </w:tc>
        <w:tc>
          <w:tcPr>
            <w:tcW w:type="dxa" w:w="7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266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2.4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Are value streams used to locate friction, handoff failures, and improvement opportunities?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Never used this way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Occasional one-off analyses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Used within major initiatives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Routine input to improvement work</w:t>
            </w:r>
          </w:p>
        </w:tc>
        <w:tc>
          <w:tcPr>
            <w:tcW w:type="dxa" w:w="7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266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2.5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Is the value delivered by each stream made explicit — triggering stakeholder, value item, and outcome?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Value is not articulated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Implied but undocumented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Documented for most streams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Explicit and validated with stakeholders</w:t>
            </w:r>
          </w:p>
        </w:tc>
        <w:tc>
          <w:tcPr>
            <w:tcW w:type="dxa" w:w="7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8580"/>
            <w:gridSpan w:val="5"/>
            <w:shd w:fill="EEF2FA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Category total (maximum 20)</w:t>
            </w:r>
          </w:p>
        </w:tc>
        <w:tc>
          <w:tcPr>
            <w:tcW w:type="dxa" w:w="780"/>
            <w:shd w:fill="EEF2F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</w:pPr>
      <w:r>
        <w:t xml:space="preserve">Category 3: Strategy Linkage &amp; Prioritization</w:t>
      </w:r>
    </w:p>
    <w:p>
      <w:pPr>
        <w:spacing w:after="160" w:line="264"/>
      </w:pPr>
      <w:r>
        <w:rPr>
          <w:rFonts w:ascii="Calibri" w:cs="Calibri" w:eastAsia="Calibri" w:hAnsi="Calibri"/>
          <w:i/>
          <w:iCs/>
          <w:color w:val="475569"/>
          <w:sz w:val="20"/>
          <w:szCs w:val="20"/>
        </w:rPr>
        <w:t xml:space="preserve">Whether business architecture connects strategy to execution — shaping where the organization invests, not just describing it.</w:t>
      </w:r>
    </w:p>
    <w:tbl>
      <w:tblPr>
        <w:tblW w:type="dxa" w:w="9360"/>
        <w:tblBorders>
          <w:top w:val="single" w:color="C7D2E5" w:sz="4"/>
          <w:left w:val="single" w:color="C7D2E5" w:sz="4"/>
          <w:bottom w:val="single" w:color="C7D2E5" w:sz="4"/>
          <w:right w:val="single" w:color="C7D2E5" w:sz="4"/>
          <w:insideH w:val="single" w:color="C7D2E5" w:sz="4"/>
          <w:insideV w:val="single" w:color="C7D2E5" w:sz="4"/>
        </w:tblBorders>
      </w:tblPr>
      <w:tblGrid>
        <w:gridCol w:w="2660"/>
        <w:gridCol w:w="1480"/>
        <w:gridCol w:w="1480"/>
        <w:gridCol w:w="1480"/>
        <w:gridCol w:w="1480"/>
        <w:gridCol w:w="780"/>
      </w:tblGrid>
      <w:tr>
        <w:trPr>
          <w:tblHeader/>
        </w:trPr>
        <w:tc>
          <w:tcPr>
            <w:tcW w:type="dxa" w:w="266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Assessment question</w:t>
            </w:r>
          </w:p>
        </w:tc>
        <w:tc>
          <w:tcPr>
            <w:tcW w:type="dxa" w:w="14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1</w:t>
            </w:r>
          </w:p>
        </w:tc>
        <w:tc>
          <w:tcPr>
            <w:tcW w:type="dxa" w:w="14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2</w:t>
            </w:r>
          </w:p>
        </w:tc>
        <w:tc>
          <w:tcPr>
            <w:tcW w:type="dxa" w:w="14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3</w:t>
            </w:r>
          </w:p>
        </w:tc>
        <w:tc>
          <w:tcPr>
            <w:tcW w:type="dxa" w:w="14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4</w:t>
            </w:r>
          </w:p>
        </w:tc>
        <w:tc>
          <w:tcPr>
            <w:tcW w:type="dxa" w:w="7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Your score</w:t>
            </w:r>
          </w:p>
        </w:tc>
      </w:tr>
      <w:tr>
        <w:trPr>
          <w:cantSplit/>
        </w:trPr>
        <w:tc>
          <w:tcPr>
            <w:tcW w:type="dxa" w:w="266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3.1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Are strategic objectives translated into explicit capability implications (what must improve, by how much)?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No translation occurs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Ad hoc, initiative by initiative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Systematic for major strategic themes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A standard step in every planning cycle</w:t>
            </w:r>
          </w:p>
        </w:tc>
        <w:tc>
          <w:tcPr>
            <w:tcW w:type="dxa" w:w="7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266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3.2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Do capability assessments inform how investment is prioritized?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Investment decided without them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Occasionally referenced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Regular input to major decisions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Embedded in the portfolio process</w:t>
            </w:r>
          </w:p>
        </w:tc>
        <w:tc>
          <w:tcPr>
            <w:tcW w:type="dxa" w:w="7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266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3.3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Can you trace from strategy to capability to initiative to expected outcome?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No traceability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Partial, assembled manually on request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Maintained for key programs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End-to-end traceability, kept current</w:t>
            </w:r>
          </w:p>
        </w:tc>
        <w:tc>
          <w:tcPr>
            <w:tcW w:type="dxa" w:w="7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266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3.4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Are gaps, overlaps, and redundancies in the initiative portfolio identified using architecture views?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Never examined this way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Reactively, after problems surface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Through periodic portfolio reviews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Continuously; findings drive rationalization</w:t>
            </w:r>
          </w:p>
        </w:tc>
        <w:tc>
          <w:tcPr>
            <w:tcW w:type="dxa" w:w="7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266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3.5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Do business architects have a seat in planning cycles (annual and quarterly)?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Not involved at all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Consulted late, after decisions are made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Involved in major planning cycles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A standing role in every cycle</w:t>
            </w:r>
          </w:p>
        </w:tc>
        <w:tc>
          <w:tcPr>
            <w:tcW w:type="dxa" w:w="7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8580"/>
            <w:gridSpan w:val="5"/>
            <w:shd w:fill="EEF2FA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Category total (maximum 20)</w:t>
            </w:r>
          </w:p>
        </w:tc>
        <w:tc>
          <w:tcPr>
            <w:tcW w:type="dxa" w:w="780"/>
            <w:shd w:fill="EEF2F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</w:pPr>
      <w:r>
        <w:t xml:space="preserve">Category 4: Governance &amp; Operating Rhythm</w:t>
      </w:r>
    </w:p>
    <w:p>
      <w:pPr>
        <w:spacing w:after="160" w:line="264"/>
      </w:pPr>
      <w:r>
        <w:rPr>
          <w:rFonts w:ascii="Calibri" w:cs="Calibri" w:eastAsia="Calibri" w:hAnsi="Calibri"/>
          <w:i/>
          <w:iCs/>
          <w:color w:val="475569"/>
          <w:sz w:val="20"/>
          <w:szCs w:val="20"/>
        </w:rPr>
        <w:t xml:space="preserve">Whether the practice runs as a managed discipline — with mandate, roles, standards, cadence, and measured performance.</w:t>
      </w:r>
    </w:p>
    <w:tbl>
      <w:tblPr>
        <w:tblW w:type="dxa" w:w="9360"/>
        <w:tblBorders>
          <w:top w:val="single" w:color="C7D2E5" w:sz="4"/>
          <w:left w:val="single" w:color="C7D2E5" w:sz="4"/>
          <w:bottom w:val="single" w:color="C7D2E5" w:sz="4"/>
          <w:right w:val="single" w:color="C7D2E5" w:sz="4"/>
          <w:insideH w:val="single" w:color="C7D2E5" w:sz="4"/>
          <w:insideV w:val="single" w:color="C7D2E5" w:sz="4"/>
        </w:tblBorders>
      </w:tblPr>
      <w:tblGrid>
        <w:gridCol w:w="2660"/>
        <w:gridCol w:w="1480"/>
        <w:gridCol w:w="1480"/>
        <w:gridCol w:w="1480"/>
        <w:gridCol w:w="1480"/>
        <w:gridCol w:w="780"/>
      </w:tblGrid>
      <w:tr>
        <w:trPr>
          <w:tblHeader/>
        </w:trPr>
        <w:tc>
          <w:tcPr>
            <w:tcW w:type="dxa" w:w="266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Assessment question</w:t>
            </w:r>
          </w:p>
        </w:tc>
        <w:tc>
          <w:tcPr>
            <w:tcW w:type="dxa" w:w="14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1</w:t>
            </w:r>
          </w:p>
        </w:tc>
        <w:tc>
          <w:tcPr>
            <w:tcW w:type="dxa" w:w="14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2</w:t>
            </w:r>
          </w:p>
        </w:tc>
        <w:tc>
          <w:tcPr>
            <w:tcW w:type="dxa" w:w="14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3</w:t>
            </w:r>
          </w:p>
        </w:tc>
        <w:tc>
          <w:tcPr>
            <w:tcW w:type="dxa" w:w="14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4</w:t>
            </w:r>
          </w:p>
        </w:tc>
        <w:tc>
          <w:tcPr>
            <w:tcW w:type="dxa" w:w="7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Your score</w:t>
            </w:r>
          </w:p>
        </w:tc>
      </w:tr>
      <w:tr>
        <w:trPr>
          <w:cantSplit/>
        </w:trPr>
        <w:tc>
          <w:tcPr>
            <w:tcW w:type="dxa" w:w="266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4.1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Does the business architecture practice have a documented charter or mandate?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No mandate exists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Informal and person-dependent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Documented, partially recognized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Endorsed by leadership and renewed</w:t>
            </w:r>
          </w:p>
        </w:tc>
        <w:tc>
          <w:tcPr>
            <w:tcW w:type="dxa" w:w="7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266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4.2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Are roles and ownership defined for architecture artifacts and decisions?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No defined roles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Roles implied but inconsistent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Roles defined for core artifacts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Clear accountability, practiced daily</w:t>
            </w:r>
          </w:p>
        </w:tc>
        <w:tc>
          <w:tcPr>
            <w:tcW w:type="dxa" w:w="7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266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4.3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Is there a regular cadence for reviewing and refreshing architecture artifacts?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Updated only when forced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Sporadic, effort-driven updates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Scheduled reviews, some slippage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Reliable cadence; freshness is tracked</w:t>
            </w:r>
          </w:p>
        </w:tc>
        <w:tc>
          <w:tcPr>
            <w:tcW w:type="dxa" w:w="7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266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4.4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Are there standards for notation, naming, and quality of architecture artifacts?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None; each author differs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Loose conventions, unevenly applied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Documented standards, uneven use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Standards applied and quality-checked</w:t>
            </w:r>
          </w:p>
        </w:tc>
        <w:tc>
          <w:tcPr>
            <w:tcW w:type="dxa" w:w="7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266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4.5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Is the practice's performance measured — usage, decision influence, stakeholder satisfaction?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Not measured at all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Anecdotal feedback only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A few metrics tracked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Metrics reviewed and drive improvement</w:t>
            </w:r>
          </w:p>
        </w:tc>
        <w:tc>
          <w:tcPr>
            <w:tcW w:type="dxa" w:w="7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8580"/>
            <w:gridSpan w:val="5"/>
            <w:shd w:fill="EEF2FA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Category total (maximum 20)</w:t>
            </w:r>
          </w:p>
        </w:tc>
        <w:tc>
          <w:tcPr>
            <w:tcW w:type="dxa" w:w="780"/>
            <w:shd w:fill="EEF2F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</w:pPr>
      <w:r>
        <w:t xml:space="preserve">Category 5: Stakeholder Engagement &amp; Communication</w:t>
      </w:r>
    </w:p>
    <w:p>
      <w:pPr>
        <w:spacing w:after="160" w:line="264"/>
      </w:pPr>
      <w:r>
        <w:rPr>
          <w:rFonts w:ascii="Calibri" w:cs="Calibri" w:eastAsia="Calibri" w:hAnsi="Calibri"/>
          <w:i/>
          <w:iCs/>
          <w:color w:val="475569"/>
          <w:sz w:val="20"/>
          <w:szCs w:val="20"/>
        </w:rPr>
        <w:t xml:space="preserve">Whether the business pulls architecture into its decisions — sponsorship, shared language, tailored views, and visible wins.</w:t>
      </w:r>
    </w:p>
    <w:tbl>
      <w:tblPr>
        <w:tblW w:type="dxa" w:w="9360"/>
        <w:tblBorders>
          <w:top w:val="single" w:color="C7D2E5" w:sz="4"/>
          <w:left w:val="single" w:color="C7D2E5" w:sz="4"/>
          <w:bottom w:val="single" w:color="C7D2E5" w:sz="4"/>
          <w:right w:val="single" w:color="C7D2E5" w:sz="4"/>
          <w:insideH w:val="single" w:color="C7D2E5" w:sz="4"/>
          <w:insideV w:val="single" w:color="C7D2E5" w:sz="4"/>
        </w:tblBorders>
      </w:tblPr>
      <w:tblGrid>
        <w:gridCol w:w="2660"/>
        <w:gridCol w:w="1480"/>
        <w:gridCol w:w="1480"/>
        <w:gridCol w:w="1480"/>
        <w:gridCol w:w="1480"/>
        <w:gridCol w:w="780"/>
      </w:tblGrid>
      <w:tr>
        <w:trPr>
          <w:tblHeader/>
        </w:trPr>
        <w:tc>
          <w:tcPr>
            <w:tcW w:type="dxa" w:w="266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Assessment question</w:t>
            </w:r>
          </w:p>
        </w:tc>
        <w:tc>
          <w:tcPr>
            <w:tcW w:type="dxa" w:w="14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1</w:t>
            </w:r>
          </w:p>
        </w:tc>
        <w:tc>
          <w:tcPr>
            <w:tcW w:type="dxa" w:w="14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2</w:t>
            </w:r>
          </w:p>
        </w:tc>
        <w:tc>
          <w:tcPr>
            <w:tcW w:type="dxa" w:w="14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3</w:t>
            </w:r>
          </w:p>
        </w:tc>
        <w:tc>
          <w:tcPr>
            <w:tcW w:type="dxa" w:w="14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4</w:t>
            </w:r>
          </w:p>
        </w:tc>
        <w:tc>
          <w:tcPr>
            <w:tcW w:type="dxa" w:w="7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Your score</w:t>
            </w:r>
          </w:p>
        </w:tc>
      </w:tr>
      <w:tr>
        <w:trPr>
          <w:cantSplit/>
        </w:trPr>
        <w:tc>
          <w:tcPr>
            <w:tcW w:type="dxa" w:w="266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5.1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Is there an executive sponsor who actively champions the practice?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No sponsor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Nominal sponsor, little engagement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Engaged sponsor for key efforts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Active champion at the leadership table</w:t>
            </w:r>
          </w:p>
        </w:tc>
        <w:tc>
          <w:tcPr>
            <w:tcW w:type="dxa" w:w="7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266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5.2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Are architecture views tailored to their audiences — executives, product, delivery, operations?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One-size-fits-all outputs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Occasional tailoring on request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Tailored views for major audiences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Audience-specific views are the standard</w:t>
            </w:r>
          </w:p>
        </w:tc>
        <w:tc>
          <w:tcPr>
            <w:tcW w:type="dxa" w:w="7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266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5.3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Do business leaders proactively request architecture input for their decisions?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Never requested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Rarely; architects push their way in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Requested for major decisions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Routine pull from across the business</w:t>
            </w:r>
          </w:p>
        </w:tc>
        <w:tc>
          <w:tcPr>
            <w:tcW w:type="dxa" w:w="7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266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5.4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Is there a shared vocabulary for capabilities and value streams across functions?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No shared vocabulary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Understood only inside the team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Adopted by partner functions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Common language across the enterprise</w:t>
            </w:r>
          </w:p>
        </w:tc>
        <w:tc>
          <w:tcPr>
            <w:tcW w:type="dxa" w:w="7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266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5.5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Are wins and outcomes attributable to the practice communicated to stakeholders?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No communication of outcomes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Occasional and informal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Periodic updates to stakeholders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Regular, evidence-based storytelling</w:t>
            </w:r>
          </w:p>
        </w:tc>
        <w:tc>
          <w:tcPr>
            <w:tcW w:type="dxa" w:w="7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8580"/>
            <w:gridSpan w:val="5"/>
            <w:shd w:fill="EEF2FA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Category total (maximum 20)</w:t>
            </w:r>
          </w:p>
        </w:tc>
        <w:tc>
          <w:tcPr>
            <w:tcW w:type="dxa" w:w="780"/>
            <w:shd w:fill="EEF2F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</w:pPr>
      <w:r>
        <w:t xml:space="preserve">Category 6: Tooling, Data &amp; Artifacts</w:t>
      </w:r>
    </w:p>
    <w:p>
      <w:pPr>
        <w:spacing w:after="160" w:line="264"/>
      </w:pPr>
      <w:r>
        <w:rPr>
          <w:rFonts w:ascii="Calibri" w:cs="Calibri" w:eastAsia="Calibri" w:hAnsi="Calibri"/>
          <w:i/>
          <w:iCs/>
          <w:color w:val="475569"/>
          <w:sz w:val="20"/>
          <w:szCs w:val="20"/>
        </w:rPr>
        <w:t xml:space="preserve">Whether the knowledge base behind the practice is managed as an asset — connected, current, reusable, and fast to query.</w:t>
      </w:r>
    </w:p>
    <w:tbl>
      <w:tblPr>
        <w:tblW w:type="dxa" w:w="9360"/>
        <w:tblBorders>
          <w:top w:val="single" w:color="C7D2E5" w:sz="4"/>
          <w:left w:val="single" w:color="C7D2E5" w:sz="4"/>
          <w:bottom w:val="single" w:color="C7D2E5" w:sz="4"/>
          <w:right w:val="single" w:color="C7D2E5" w:sz="4"/>
          <w:insideH w:val="single" w:color="C7D2E5" w:sz="4"/>
          <w:insideV w:val="single" w:color="C7D2E5" w:sz="4"/>
        </w:tblBorders>
      </w:tblPr>
      <w:tblGrid>
        <w:gridCol w:w="2660"/>
        <w:gridCol w:w="1480"/>
        <w:gridCol w:w="1480"/>
        <w:gridCol w:w="1480"/>
        <w:gridCol w:w="1480"/>
        <w:gridCol w:w="780"/>
      </w:tblGrid>
      <w:tr>
        <w:trPr>
          <w:tblHeader/>
        </w:trPr>
        <w:tc>
          <w:tcPr>
            <w:tcW w:type="dxa" w:w="266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Assessment question</w:t>
            </w:r>
          </w:p>
        </w:tc>
        <w:tc>
          <w:tcPr>
            <w:tcW w:type="dxa" w:w="14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1</w:t>
            </w:r>
          </w:p>
        </w:tc>
        <w:tc>
          <w:tcPr>
            <w:tcW w:type="dxa" w:w="14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2</w:t>
            </w:r>
          </w:p>
        </w:tc>
        <w:tc>
          <w:tcPr>
            <w:tcW w:type="dxa" w:w="14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3</w:t>
            </w:r>
          </w:p>
        </w:tc>
        <w:tc>
          <w:tcPr>
            <w:tcW w:type="dxa" w:w="14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4</w:t>
            </w:r>
          </w:p>
        </w:tc>
        <w:tc>
          <w:tcPr>
            <w:tcW w:type="dxa" w:w="78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Your score</w:t>
            </w:r>
          </w:p>
        </w:tc>
      </w:tr>
      <w:tr>
        <w:trPr>
          <w:cantSplit/>
        </w:trPr>
        <w:tc>
          <w:tcPr>
            <w:tcW w:type="dxa" w:w="266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6.1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Where do architecture artifacts live?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Scattered slides and shared drives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A central folder, unmanaged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A repository or tool, partly adopted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A governed repository — single source</w:t>
            </w:r>
          </w:p>
        </w:tc>
        <w:tc>
          <w:tcPr>
            <w:tcW w:type="dxa" w:w="7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266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6.2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Are artifacts linked — capabilities to value streams to applications and initiatives — rather than isolated documents?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Isolated, standalone documents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Manual cross-references, often broken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Linked in a tool for core domains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A connected, queryable model</w:t>
            </w:r>
          </w:p>
        </w:tc>
        <w:tc>
          <w:tcPr>
            <w:tcW w:type="dxa" w:w="7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266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6.3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How current are the artifacts stakeholders rely on?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Mostly stale and untrusted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Fresh only after big pushes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Key artifacts are kept current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Freshness is governed and dated</w:t>
            </w:r>
          </w:p>
        </w:tc>
        <w:tc>
          <w:tcPr>
            <w:tcW w:type="dxa" w:w="7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266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6.4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Are reference models and templates reused to accelerate new work?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Everything starts from scratch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Individuals keep private templates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Shared team templates exist</w:t>
            </w:r>
          </w:p>
        </w:tc>
        <w:tc>
          <w:tcPr>
            <w:tcW w:type="dxa" w:w="14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A curated, maintained library</w:t>
            </w:r>
          </w:p>
        </w:tc>
        <w:tc>
          <w:tcPr>
            <w:tcW w:type="dxa" w:w="78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266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8"/>
                <w:szCs w:val="18"/>
              </w:rPr>
              <w:t xml:space="preserve">6.5  </w:t>
            </w: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Can views and reports be produced on demand to support a decision?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Weeks of manual effort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Days, with heavy rework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Standard views within hours</w:t>
            </w:r>
          </w:p>
        </w:tc>
        <w:tc>
          <w:tcPr>
            <w:tcW w:type="dxa" w:w="14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334155"/>
                <w:sz w:val="17"/>
                <w:szCs w:val="17"/>
              </w:rPr>
              <w:t xml:space="preserve">On demand, largely automated</w:t>
            </w:r>
          </w:p>
        </w:tc>
        <w:tc>
          <w:tcPr>
            <w:tcW w:type="dxa" w:w="78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</w:trPr>
        <w:tc>
          <w:tcPr>
            <w:tcW w:type="dxa" w:w="8580"/>
            <w:gridSpan w:val="5"/>
            <w:shd w:fill="EEF2FA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F172A"/>
                <w:sz w:val="18"/>
                <w:szCs w:val="18"/>
              </w:rPr>
              <w:t xml:space="preserve">Category total (maximum 20)</w:t>
            </w:r>
          </w:p>
        </w:tc>
        <w:tc>
          <w:tcPr>
            <w:tcW w:type="dxa" w:w="780"/>
            <w:shd w:fill="EEF2F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 xml:space="preserve">Scoring and Interpretation</w:t>
      </w:r>
    </w:p>
    <w:p>
      <w:pPr>
        <w:pStyle w:val="Heading2"/>
      </w:pPr>
      <w:r>
        <w:t xml:space="preserve">Tally Your Scores</w:t>
      </w:r>
    </w:p>
    <w:p>
      <w:pPr>
        <w:spacing w:after="140" w:line="276"/>
      </w:pPr>
      <w:r>
        <w:rPr>
          <w:color w:val="1E293B"/>
          <w:sz w:val="22"/>
          <w:szCs w:val="22"/>
        </w:rPr>
        <w:t xml:space="preserve">Each category has five questions scored 1–4, for a category maximum of 20 and a minimum of 5. The overall score ranges from 30 to 120.</w:t>
      </w:r>
    </w:p>
    <w:tbl>
      <w:tblPr>
        <w:tblW w:type="dxa" w:w="9360"/>
        <w:tblBorders>
          <w:top w:val="single" w:color="C7D2E5" w:sz="4"/>
          <w:left w:val="single" w:color="C7D2E5" w:sz="4"/>
          <w:bottom w:val="single" w:color="C7D2E5" w:sz="4"/>
          <w:right w:val="single" w:color="C7D2E5" w:sz="4"/>
          <w:insideH w:val="single" w:color="C7D2E5" w:sz="4"/>
          <w:insideV w:val="single" w:color="C7D2E5" w:sz="4"/>
        </w:tblBorders>
      </w:tblPr>
      <w:tblGrid>
        <w:gridCol w:w="6660"/>
        <w:gridCol w:w="2700"/>
      </w:tblGrid>
      <w:tr>
        <w:trPr>
          <w:tblHeader/>
        </w:trPr>
        <w:tc>
          <w:tcPr>
            <w:tcW w:type="dxa" w:w="666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Category</w:t>
            </w:r>
          </w:p>
        </w:tc>
        <w:tc>
          <w:tcPr>
            <w:tcW w:type="dxa" w:w="270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Your total (max 20)</w:t>
            </w:r>
          </w:p>
        </w:tc>
      </w:tr>
      <w:tr>
        <w:trPr>
          <w:cantSplit/>
        </w:trPr>
        <w:tc>
          <w:tcPr>
            <w:tcW w:type="dxa" w:w="666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4155"/>
                <w:sz w:val="19"/>
                <w:szCs w:val="19"/>
              </w:rPr>
              <w:t xml:space="preserve">1. Capability Modeling</w:t>
            </w:r>
          </w:p>
        </w:tc>
        <w:tc>
          <w:tcPr>
            <w:tcW w:type="dxa" w:w="270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666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4155"/>
                <w:sz w:val="19"/>
                <w:szCs w:val="19"/>
              </w:rPr>
              <w:t xml:space="preserve">2. Value Streams &amp; Process Alignment</w:t>
            </w:r>
          </w:p>
        </w:tc>
        <w:tc>
          <w:tcPr>
            <w:tcW w:type="dxa" w:w="270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666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4155"/>
                <w:sz w:val="19"/>
                <w:szCs w:val="19"/>
              </w:rPr>
              <w:t xml:space="preserve">3. Strategy Linkage &amp; Prioritization</w:t>
            </w:r>
          </w:p>
        </w:tc>
        <w:tc>
          <w:tcPr>
            <w:tcW w:type="dxa" w:w="270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666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4155"/>
                <w:sz w:val="19"/>
                <w:szCs w:val="19"/>
              </w:rPr>
              <w:t xml:space="preserve">4. Governance &amp; Operating Rhythm</w:t>
            </w:r>
          </w:p>
        </w:tc>
        <w:tc>
          <w:tcPr>
            <w:tcW w:type="dxa" w:w="270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666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4155"/>
                <w:sz w:val="19"/>
                <w:szCs w:val="19"/>
              </w:rPr>
              <w:t xml:space="preserve">5. Stakeholder Engagement &amp; Communication</w:t>
            </w:r>
          </w:p>
        </w:tc>
        <w:tc>
          <w:tcPr>
            <w:tcW w:type="dxa" w:w="270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666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4155"/>
                <w:sz w:val="19"/>
                <w:szCs w:val="19"/>
              </w:rPr>
              <w:t xml:space="preserve">6. Tooling, Data &amp; Artifacts</w:t>
            </w:r>
          </w:p>
        </w:tc>
        <w:tc>
          <w:tcPr>
            <w:tcW w:type="dxa" w:w="270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6660"/>
            <w:shd w:fill="EEF2FA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F172A"/>
                <w:sz w:val="19"/>
                <w:szCs w:val="19"/>
              </w:rPr>
              <w:t xml:space="preserve">Overall total (maximum 120)</w:t>
            </w:r>
          </w:p>
        </w:tc>
        <w:tc>
          <w:tcPr>
            <w:tcW w:type="dxa" w:w="2700"/>
            <w:shd w:fill="EEF2FA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0"/>
            </w:pPr>
          </w:p>
        </w:tc>
      </w:tr>
    </w:tbl>
    <w:p>
      <w:pPr>
        <w:spacing w:after="200"/>
      </w:pPr>
    </w:p>
    <w:p>
      <w:pPr>
        <w:pStyle w:val="Heading2"/>
      </w:pPr>
      <w:r>
        <w:t xml:space="preserve">Overall Maturity Bands</w:t>
      </w:r>
    </w:p>
    <w:tbl>
      <w:tblPr>
        <w:tblW w:type="dxa" w:w="9360"/>
        <w:tblBorders>
          <w:top w:val="single" w:color="C7D2E5" w:sz="4"/>
          <w:left w:val="single" w:color="C7D2E5" w:sz="4"/>
          <w:bottom w:val="single" w:color="C7D2E5" w:sz="4"/>
          <w:right w:val="single" w:color="C7D2E5" w:sz="4"/>
          <w:insideH w:val="single" w:color="C7D2E5" w:sz="4"/>
          <w:insideV w:val="single" w:color="C7D2E5" w:sz="4"/>
        </w:tblBorders>
      </w:tblPr>
      <w:tblGrid>
        <w:gridCol w:w="1700"/>
        <w:gridCol w:w="1800"/>
        <w:gridCol w:w="5860"/>
      </w:tblGrid>
      <w:tr>
        <w:trPr>
          <w:tblHeader/>
        </w:trPr>
        <w:tc>
          <w:tcPr>
            <w:tcW w:type="dxa" w:w="170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Overall score</w:t>
            </w:r>
          </w:p>
        </w:tc>
        <w:tc>
          <w:tcPr>
            <w:tcW w:type="dxa" w:w="180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Band</w:t>
            </w:r>
          </w:p>
        </w:tc>
        <w:tc>
          <w:tcPr>
            <w:tcW w:type="dxa" w:w="5860"/>
            <w:shd w:fill="0F172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What it means — and what to do next</w:t>
            </w:r>
          </w:p>
        </w:tc>
      </w:tr>
      <w:tr>
        <w:trPr>
          <w:cantSplit/>
        </w:trPr>
        <w:tc>
          <w:tcPr>
            <w:tcW w:type="dxa" w:w="170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F172A"/>
                <w:sz w:val="19"/>
                <w:szCs w:val="19"/>
              </w:rPr>
              <w:t xml:space="preserve">30–59</w:t>
            </w:r>
          </w:p>
        </w:tc>
        <w:tc>
          <w:tcPr>
            <w:tcW w:type="dxa" w:w="180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9"/>
                <w:szCs w:val="19"/>
              </w:rPr>
              <w:t xml:space="preserve">Nascent</w:t>
            </w:r>
          </w:p>
        </w:tc>
        <w:tc>
          <w:tcPr>
            <w:tcW w:type="dxa" w:w="586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9"/>
                <w:szCs w:val="19"/>
              </w:rPr>
              <w:t xml:space="preserve">Business architecture exists mostly as intent or isolated artifacts. Focus on the basics: draft a level-one capability model, secure a sponsor, and pick one live decision where an architecture view can visibly help. Avoid tooling investments until there is content worth managing.</w:t>
            </w:r>
          </w:p>
        </w:tc>
      </w:tr>
      <w:tr>
        <w:trPr>
          <w:cantSplit/>
        </w:trPr>
        <w:tc>
          <w:tcPr>
            <w:tcW w:type="dxa" w:w="170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F172A"/>
                <w:sz w:val="19"/>
                <w:szCs w:val="19"/>
              </w:rPr>
              <w:t xml:space="preserve">60–84</w:t>
            </w:r>
          </w:p>
        </w:tc>
        <w:tc>
          <w:tcPr>
            <w:tcW w:type="dxa" w:w="180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9"/>
                <w:szCs w:val="19"/>
              </w:rPr>
              <w:t xml:space="preserve">Emerging</w:t>
            </w:r>
          </w:p>
        </w:tc>
        <w:tc>
          <w:tcPr>
            <w:tcW w:type="dxa" w:w="586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9"/>
                <w:szCs w:val="19"/>
              </w:rPr>
              <w:t xml:space="preserve">Foundational artifacts exist but adoption is uneven and dependent on individuals. Concentrate on making the work usable by others: agree a single source of truth, establish a review cadence, and connect capability assessments to at least one planning or investment conversation.</w:t>
            </w:r>
          </w:p>
        </w:tc>
      </w:tr>
      <w:tr>
        <w:trPr>
          <w:cantSplit/>
        </w:trPr>
        <w:tc>
          <w:tcPr>
            <w:tcW w:type="dxa" w:w="170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F172A"/>
                <w:sz w:val="19"/>
                <w:szCs w:val="19"/>
              </w:rPr>
              <w:t xml:space="preserve">85–104</w:t>
            </w:r>
          </w:p>
        </w:tc>
        <w:tc>
          <w:tcPr>
            <w:tcW w:type="dxa" w:w="180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9"/>
                <w:szCs w:val="19"/>
              </w:rPr>
              <w:t xml:space="preserve">Established</w:t>
            </w:r>
          </w:p>
        </w:tc>
        <w:tc>
          <w:tcPr>
            <w:tcW w:type="dxa" w:w="5860"/>
            <w:shd w:fill="FFFFFF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9"/>
                <w:szCs w:val="19"/>
              </w:rPr>
              <w:t xml:space="preserve">The practice is embedded in major decisions and its artifacts are trusted. The risk now is plateauing. Deepen traceability from strategy to outcomes, extend coverage into less-served domains, and start measuring the practice's influence on decisions rather than its output volume.</w:t>
            </w:r>
          </w:p>
        </w:tc>
      </w:tr>
      <w:tr>
        <w:trPr>
          <w:cantSplit/>
        </w:trPr>
        <w:tc>
          <w:tcPr>
            <w:tcW w:type="dxa" w:w="170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F172A"/>
                <w:sz w:val="19"/>
                <w:szCs w:val="19"/>
              </w:rPr>
              <w:t xml:space="preserve">105–120</w:t>
            </w:r>
          </w:p>
        </w:tc>
        <w:tc>
          <w:tcPr>
            <w:tcW w:type="dxa" w:w="180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563EB"/>
                <w:sz w:val="19"/>
                <w:szCs w:val="19"/>
              </w:rPr>
              <w:t xml:space="preserve">Leading</w:t>
            </w:r>
          </w:p>
        </w:tc>
        <w:tc>
          <w:tcPr>
            <w:tcW w:type="dxa" w:w="5860"/>
            <w:shd w:fill="F5F7FC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4155"/>
                <w:sz w:val="19"/>
                <w:szCs w:val="19"/>
              </w:rPr>
              <w:t xml:space="preserve">Business architecture operates as a management discipline: current, connected, and pulled into decisions by the business itself. Protect that position — succession-proof key roles, keep artifacts lean rather than exhaustive, and periodically retire views that no longer earn their maintenance cost.</w:t>
            </w:r>
          </w:p>
        </w:tc>
      </w:tr>
    </w:tbl>
    <w:p>
      <w:pPr>
        <w:spacing w:after="200"/>
      </w:pPr>
    </w:p>
    <w:p>
      <w:pPr>
        <w:pStyle w:val="Heading2"/>
      </w:pPr>
      <w:r>
        <w:t xml:space="preserve">Reading Your Category Profile</w:t>
      </w:r>
    </w:p>
    <w:p>
      <w:pPr>
        <w:spacing w:after="140" w:line="276"/>
      </w:pPr>
      <w:r>
        <w:rPr>
          <w:color w:val="1E293B"/>
          <w:sz w:val="22"/>
          <w:szCs w:val="22"/>
        </w:rPr>
        <w:t xml:space="preserve">The overall band describes the practice as a whole; the category totals tell you where to work. As a rule of thumb: a category at 15 or above is an asset you can build on; 10–14 signals a foundation that needs consistency and adoption; below 10 marks a gap that will limit the other five categories if left unaddressed.</w:t>
      </w:r>
    </w:p>
    <w:p>
      <w:pPr>
        <w:spacing w:after="140" w:line="276"/>
      </w:pPr>
      <w:r>
        <w:rPr>
          <w:color w:val="1E293B"/>
          <w:sz w:val="22"/>
          <w:szCs w:val="22"/>
        </w:rPr>
        <w:t xml:space="preserve">Watch for lopsided profiles. Strong modeling scores (Categories 1–2) with weak linkage and engagement scores (Categories 3–5) describe a practice producing artifacts nobody uses — prioritize engagement over more modeling. The reverse pattern — strong relationships, weak artifacts — usually means the practice depends on a few individuals and will not scale or survive turnover.</w:t>
      </w:r>
    </w:p>
    <w:p>
      <w:pPr>
        <w:pStyle w:val="Heading1"/>
      </w:pPr>
      <w:r>
        <w:t xml:space="preserve">Post-Assessment Steps</w:t>
      </w:r>
    </w:p>
    <w:p>
      <w:pPr>
        <w:pStyle w:val="ListParagraph"/>
        <w:numPr>
          <w:ilvl w:val="0"/>
          <w:numId w:val="3"/>
        </w:numPr>
        <w:spacing w:after="120" w:line="276"/>
      </w:pPr>
      <w:r>
        <w:rPr>
          <w:b/>
          <w:bCs/>
          <w:color w:val="0F172A"/>
          <w:sz w:val="22"/>
          <w:szCs w:val="22"/>
        </w:rPr>
        <w:t xml:space="preserve">Develop an action plan. </w:t>
      </w:r>
      <w:r>
        <w:rPr>
          <w:color w:val="1E293B"/>
          <w:sz w:val="22"/>
          <w:szCs w:val="22"/>
        </w:rPr>
        <w:t xml:space="preserve">Turn the two or three weakest areas into a short, dated action plan with a named owner for each item. Prefer a few finished improvements over a broad program.</w:t>
      </w:r>
    </w:p>
    <w:p>
      <w:pPr>
        <w:pStyle w:val="ListParagraph"/>
        <w:numPr>
          <w:ilvl w:val="0"/>
          <w:numId w:val="3"/>
        </w:numPr>
        <w:spacing w:after="120" w:line="276"/>
      </w:pPr>
      <w:r>
        <w:rPr>
          <w:b/>
          <w:bCs/>
          <w:color w:val="0F172A"/>
          <w:sz w:val="22"/>
          <w:szCs w:val="22"/>
        </w:rPr>
        <w:t xml:space="preserve">Implement through real work. </w:t>
      </w:r>
      <w:r>
        <w:rPr>
          <w:color w:val="1E293B"/>
          <w:sz w:val="22"/>
          <w:szCs w:val="22"/>
        </w:rPr>
        <w:t xml:space="preserve">Attach each improvement to a live decision, planning cycle, or initiative — changes that ride on real work stick; changes introduced in the abstract rarely do.</w:t>
      </w:r>
    </w:p>
    <w:p>
      <w:pPr>
        <w:pStyle w:val="ListParagraph"/>
        <w:numPr>
          <w:ilvl w:val="0"/>
          <w:numId w:val="3"/>
        </w:numPr>
        <w:spacing w:after="120" w:line="276"/>
      </w:pPr>
      <w:r>
        <w:rPr>
          <w:b/>
          <w:bCs/>
          <w:color w:val="0F172A"/>
          <w:sz w:val="22"/>
          <w:szCs w:val="22"/>
        </w:rPr>
        <w:t xml:space="preserve">Close the loop with stakeholders. </w:t>
      </w:r>
      <w:r>
        <w:rPr>
          <w:color w:val="1E293B"/>
          <w:sz w:val="22"/>
          <w:szCs w:val="22"/>
        </w:rPr>
        <w:t xml:space="preserve">Share the results and the plan with your sponsor and the teams who contributed. Visible follow-through is what earns the practice its next round of engagement.</w:t>
      </w:r>
    </w:p>
    <w:p>
      <w:pPr>
        <w:pStyle w:val="ListParagraph"/>
        <w:numPr>
          <w:ilvl w:val="0"/>
          <w:numId w:val="3"/>
        </w:numPr>
        <w:spacing w:after="120" w:line="276"/>
      </w:pPr>
      <w:r>
        <w:rPr>
          <w:b/>
          <w:bCs/>
          <w:color w:val="0F172A"/>
          <w:sz w:val="22"/>
          <w:szCs w:val="22"/>
        </w:rPr>
        <w:t xml:space="preserve">Reassess on a cadence. </w:t>
      </w:r>
      <w:r>
        <w:rPr>
          <w:color w:val="1E293B"/>
          <w:sz w:val="22"/>
          <w:szCs w:val="22"/>
        </w:rPr>
        <w:t xml:space="preserve">Re-run the assessment every six to twelve months with the same team where possible. The trend across runs matters more than any single score.</w:t>
      </w:r>
    </w:p>
    <w:p>
      <w:pPr>
        <w:pStyle w:val="Heading2"/>
      </w:pPr>
      <w:r>
        <w:t xml:space="preserve">Going Further with Capstera</w:t>
      </w:r>
    </w:p>
    <w:p>
      <w:pPr>
        <w:spacing w:after="140" w:line="276"/>
      </w:pPr>
      <w:r>
        <w:rPr>
          <w:color w:val="1E293B"/>
          <w:sz w:val="22"/>
          <w:szCs w:val="22"/>
        </w:rPr>
        <w:t xml:space="preserve">Capstera publishes practical resources for business architecture practitioners:</w:t>
      </w:r>
    </w:p>
    <w:p>
      <w:pPr>
        <w:pStyle w:val="ListParagraph"/>
        <w:numPr>
          <w:ilvl w:val="0"/>
          <w:numId w:val="4"/>
        </w:numPr>
        <w:spacing w:after="120" w:line="276"/>
      </w:pPr>
      <w:r>
        <w:rPr>
          <w:b/>
          <w:bCs/>
          <w:color w:val="0F172A"/>
          <w:sz w:val="22"/>
          <w:szCs w:val="22"/>
        </w:rPr>
        <w:t xml:space="preserve">Knowledge hub — </w:t>
      </w:r>
      <w:r>
        <w:rPr>
          <w:color w:val="1E293B"/>
          <w:sz w:val="22"/>
          <w:szCs w:val="22"/>
        </w:rPr>
        <w:t xml:space="preserve">In-depth articles on capability modeling, value streams, and running a business architecture practice.</w:t>
      </w:r>
      <w:r>
        <w:rPr>
          <w:color w:val="2563EB"/>
          <w:sz w:val="22"/>
          <w:szCs w:val="22"/>
        </w:rPr>
        <w:t xml:space="preserve">  capstera.com/knowledge-hub/articles/business-architecture</w:t>
      </w:r>
    </w:p>
    <w:p>
      <w:pPr>
        <w:pStyle w:val="ListParagraph"/>
        <w:numPr>
          <w:ilvl w:val="0"/>
          <w:numId w:val="4"/>
        </w:numPr>
        <w:spacing w:after="120" w:line="276"/>
      </w:pPr>
      <w:r>
        <w:rPr>
          <w:b/>
          <w:bCs/>
          <w:color w:val="0F172A"/>
          <w:sz w:val="22"/>
          <w:szCs w:val="22"/>
        </w:rPr>
        <w:t xml:space="preserve">Free tools — </w:t>
      </w:r>
      <w:r>
        <w:rPr>
          <w:color w:val="1E293B"/>
          <w:sz w:val="22"/>
          <w:szCs w:val="22"/>
        </w:rPr>
        <w:t xml:space="preserve">Interactive diagnostics and utilities for architecture teams.</w:t>
      </w:r>
      <w:r>
        <w:rPr>
          <w:color w:val="2563EB"/>
          <w:sz w:val="22"/>
          <w:szCs w:val="22"/>
        </w:rPr>
        <w:t xml:space="preserve">  capstera.com/tools</w:t>
      </w:r>
    </w:p>
    <w:p>
      <w:pPr>
        <w:pStyle w:val="ListParagraph"/>
        <w:numPr>
          <w:ilvl w:val="0"/>
          <w:numId w:val="4"/>
        </w:numPr>
        <w:spacing w:after="120" w:line="276"/>
      </w:pPr>
      <w:r>
        <w:rPr>
          <w:b/>
          <w:bCs/>
          <w:color w:val="0F172A"/>
          <w:sz w:val="22"/>
          <w:szCs w:val="22"/>
        </w:rPr>
        <w:t xml:space="preserve">Store — </w:t>
      </w:r>
      <w:r>
        <w:rPr>
          <w:color w:val="1E293B"/>
          <w:sz w:val="22"/>
          <w:szCs w:val="22"/>
        </w:rPr>
        <w:t xml:space="preserve">Templates, playbooks, and toolkits to accelerate your practice.</w:t>
      </w:r>
      <w:r>
        <w:rPr>
          <w:color w:val="2563EB"/>
          <w:sz w:val="22"/>
          <w:szCs w:val="22"/>
        </w:rPr>
        <w:t xml:space="preserve">  capstera.com/store</w:t>
      </w:r>
    </w:p>
    <w:p>
      <w:pPr>
        <w:pStyle w:val="ListParagraph"/>
        <w:numPr>
          <w:ilvl w:val="0"/>
          <w:numId w:val="4"/>
        </w:numPr>
        <w:spacing w:after="120" w:line="276"/>
      </w:pPr>
      <w:r>
        <w:rPr>
          <w:b/>
          <w:bCs/>
          <w:color w:val="0F172A"/>
          <w:sz w:val="22"/>
          <w:szCs w:val="22"/>
        </w:rPr>
        <w:t xml:space="preserve">Consulting — </w:t>
      </w:r>
      <w:r>
        <w:rPr>
          <w:color w:val="1E293B"/>
          <w:sz w:val="22"/>
          <w:szCs w:val="22"/>
        </w:rPr>
        <w:t xml:space="preserve">Hands-on help building or maturing a business architecture function.</w:t>
      </w:r>
      <w:r>
        <w:rPr>
          <w:color w:val="2563EB"/>
          <w:sz w:val="22"/>
          <w:szCs w:val="22"/>
        </w:rPr>
        <w:t xml:space="preserve">  capstera.com/consulting</w:t>
      </w:r>
    </w:p>
    <w:p>
      <w:pPr>
        <w:spacing w:after="0" w:before="160"/>
      </w:pPr>
    </w:p>
    <w:tbl>
      <w:tblPr>
        <w:tblW w:type="dxa" w:w="9360"/>
        <w:tblBorders>
          <w:top w:val="single" w:color="2563EB" w:sz="8"/>
          <w:left w:val="single" w:color="2563EB" w:sz="8"/>
          <w:bottom w:val="single" w:color="2563EB" w:sz="8"/>
          <w:right w:val="single" w:color="2563EB" w:sz="8"/>
          <w:insideH w:val="none" w:color="FFFFFF" w:sz="0"/>
          <w:insideV w:val="none" w:color="FFFFFF" w:sz="0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EF2FA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color w:val="0F172A"/>
                <w:sz w:val="20"/>
                <w:szCs w:val="20"/>
              </w:rPr>
              <w:t xml:space="preserve">License:  </w:t>
            </w:r>
            <w:r>
              <w:rPr>
                <w:rFonts w:ascii="Calibri" w:cs="Calibri" w:eastAsia="Calibri" w:hAnsi="Calibri"/>
                <w:color w:val="334155"/>
                <w:sz w:val="20"/>
                <w:szCs w:val="20"/>
              </w:rPr>
              <w:t xml:space="preserve">Free to use and adapt within your organization. Provided by Capstera — capstera.com. Not for resale.</w:t>
            </w:r>
          </w:p>
        </w:tc>
      </w:tr>
    </w:tbl>
    <w:sectPr>
      <w:footerReference w:type="default" r:id="rId7"/>
      <w:type w:val="nextPage"/>
      <w:pgSz w:w="12240" w:h="15840" w:orient="portrait"/>
      <w:pgMar w:top="1440" w:right="1440" w:bottom="1440" w:left="1440" w:header="708" w:footer="708" w:gutter="0"/>
      <w:pgNumType w:start="1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E5" w:sz="4" w:space="4"/>
      </w:pBdr>
      <w:tabs>
        <w:tab w:val="right" w:pos="9360"/>
      </w:tabs>
      <w:spacing w:before="60"/>
    </w:pPr>
    <w:r>
      <w:rPr>
        <w:rFonts w:ascii="Calibri" w:cs="Calibri" w:eastAsia="Calibri" w:hAnsi="Calibri"/>
        <w:color w:val="475569"/>
        <w:sz w:val="16"/>
        <w:szCs w:val="16"/>
      </w:rPr>
      <w:t xml:space="preserve">Capstera — capstera.com</w:t>
    </w:r>
    <w:r>
      <w:rPr>
        <w:sz w:val="16"/>
        <w:szCs w:val="16"/>
      </w:rPr>
      <w:t xml:space="preserve">	</w:t>
    </w:r>
    <w:r>
      <w:rPr>
        <w:rFonts w:ascii="Calibri" w:cs="Calibri" w:eastAsia="Calibri" w:hAnsi="Calibri"/>
        <w:color w:val="475569"/>
        <w:sz w:val="16"/>
        <w:szCs w:val="16"/>
      </w:rPr>
      <w:t xml:space="preserve">Page </w:t>
    </w:r>
    <w:r>
      <w:rPr>
        <w:rFonts w:ascii="Calibri" w:cs="Calibri" w:eastAsia="Calibri" w:hAnsi="Calibri"/>
        <w:color w:val="475569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563EB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563EB"/>
      </w:r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320"/>
      </w:pPr>
      <w:rPr>
        <w:color w:val="2563EB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93B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pBdr>
        <w:bottom w:val="single" w:color="2563EB" w:sz="8" w:space="3"/>
      </w:pBdr>
      <w:spacing w:after="160" w:before="300"/>
    </w:pPr>
    <w:rPr>
      <w:rFonts w:ascii="Calibri" w:cs="Calibri" w:eastAsia="Calibri" w:hAnsi="Calibri"/>
      <w:b/>
      <w:bCs/>
      <w:color w:val="0F172A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after="120" w:before="240"/>
    </w:pPr>
    <w:rPr>
      <w:rFonts w:ascii="Calibri" w:cs="Calibri" w:eastAsia="Calibri" w:hAnsi="Calibri"/>
      <w:b/>
      <w:bCs/>
      <w:color w:val="2563EB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5c2c87f06d928263661222852f0ff55292005d34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Architecture Maturity Assessment</dc:title>
  <dc:creator>Capstera</dc:creator>
  <dc:description>A scored self-assessment of an organization's business architecture practice. Provided free by Capstera (capstera.com).</dc:description>
  <cp:lastModifiedBy>Un-named</cp:lastModifiedBy>
  <cp:revision>1</cp:revision>
  <dcterms:created xsi:type="dcterms:W3CDTF">2026-08-09T06:34:15.527Z</dcterms:created>
  <dcterms:modified xsi:type="dcterms:W3CDTF">2026-08-09T06:34:15.527Z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