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900"/>
        <w:jc w:val="center"/>
      </w:pPr>
      <w:r>
        <w:drawing>
          <wp:inline distT="0" distB="0" distL="0" distR="0">
            <wp:extent cx="28575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847725"/>
                    </a:xfrm>
                    <a:prstGeom prst="rect">
                      <a:avLst/>
                    </a:prstGeom>
                  </pic:spPr>
                </pic:pic>
              </a:graphicData>
            </a:graphic>
          </wp:inline>
        </w:drawing>
      </w:r>
    </w:p>
    <w:p>
      <w:pPr>
        <w:spacing w:after="60"/>
        <w:jc w:val="center"/>
      </w:pPr>
      <w:r>
        <w:rPr>
          <w:b/>
          <w:bCs/>
          <w:color w:val="0F172A"/>
          <w:sz w:val="72"/>
          <w:szCs w:val="72"/>
        </w:rPr>
        <w:t xml:space="preserve">Business Architecture</w:t>
      </w:r>
    </w:p>
    <w:p>
      <w:pPr>
        <w:spacing w:after="240"/>
        <w:jc w:val="center"/>
      </w:pPr>
      <w:r>
        <w:rPr>
          <w:b/>
          <w:bCs/>
          <w:color w:val="2563EB"/>
          <w:sz w:val="72"/>
          <w:szCs w:val="72"/>
        </w:rPr>
        <w:t xml:space="preserve">Practice Charter</w:t>
      </w:r>
    </w:p>
    <w:p>
      <w:pPr>
        <w:pBdr>
          <w:top w:val="single" w:color="0D9488" w:sz="8" w:space="8"/>
        </w:pBdr>
        <w:spacing w:after="60"/>
        <w:ind w:left="2400" w:right="2400"/>
        <w:jc w:val="center"/>
      </w:pPr>
      <w:r>
        <w:rPr>
          <w:color w:val="475569"/>
          <w:sz w:val="28"/>
          <w:szCs w:val="28"/>
        </w:rPr>
        <w:t xml:space="preserve">A Capstera Template</w:t>
      </w:r>
    </w:p>
    <w:p>
      <w:pPr>
        <w:spacing w:after="1400"/>
        <w:jc w:val="center"/>
      </w:pPr>
      <w:r>
        <w:rPr>
          <w:color w:val="2563EB"/>
          <w:sz w:val="24"/>
          <w:szCs w:val="24"/>
        </w:rPr>
        <w:t xml:space="preserve">capstera.com</w:t>
      </w:r>
    </w:p>
    <w:tbl>
      <w:tblPr>
        <w:tblW w:type="dxa" w:w="5400"/>
        <w:jc w:val="center"/>
        <w:tblBorders>
          <w:top w:val="single" w:color="CBD5E1" w:sz="4"/>
          <w:left w:val="single" w:color="CBD5E1" w:sz="4"/>
          <w:bottom w:val="single" w:color="CBD5E1" w:sz="4"/>
          <w:right w:val="single" w:color="CBD5E1" w:sz="4"/>
          <w:insideH w:val="single" w:color="CBD5E1" w:sz="4"/>
          <w:insideV w:val="single" w:color="CBD5E1" w:sz="4"/>
        </w:tblBorders>
      </w:tblPr>
      <w:tblGrid>
        <w:gridCol w:w="2000"/>
        <w:gridCol w:w="3400"/>
      </w:tblGrid>
      <w:tr>
        <w:tc>
          <w:tcPr>
            <w:tcW w:type="dxa" w:w="2000"/>
            <w:shd w:fill="F1F5F9" w:val="clear"/>
            <w:tcMar>
              <w:top w:type="dxa" w:w="80"/>
              <w:left w:type="dxa" w:w="120"/>
              <w:bottom w:type="dxa" w:w="80"/>
              <w:right w:type="dxa" w:w="120"/>
            </w:tcMar>
            <w:vAlign w:val="center"/>
          </w:tcPr>
          <w:p>
            <w:pPr>
              <w:spacing w:after="0"/>
            </w:pPr>
            <w:r>
              <w:rPr>
                <w:b/>
                <w:bCs/>
                <w:color w:val="0F172A"/>
                <w:sz w:val="20"/>
                <w:szCs w:val="20"/>
              </w:rPr>
              <w:t xml:space="preserve">Organization</w:t>
            </w:r>
          </w:p>
        </w:tc>
        <w:tc>
          <w:tcPr>
            <w:tcW w:type="dxa" w:w="3400"/>
            <w:tcMar>
              <w:top w:type="dxa" w:w="80"/>
              <w:left w:type="dxa" w:w="120"/>
              <w:bottom w:type="dxa" w:w="80"/>
              <w:right w:type="dxa" w:w="120"/>
            </w:tcMar>
            <w:vAlign w:val="center"/>
          </w:tcPr>
          <w:p>
            <w:pPr>
              <w:spacing w:after="0"/>
            </w:pPr>
            <w:r>
              <w:rPr>
                <w:color w:val="2563EB"/>
                <w:sz w:val="20"/>
                <w:szCs w:val="20"/>
              </w:rPr>
              <w:t xml:space="preserve">[Organization name]</w:t>
            </w:r>
          </w:p>
        </w:tc>
      </w:tr>
      <w:tr>
        <w:tc>
          <w:tcPr>
            <w:tcW w:type="dxa" w:w="2000"/>
            <w:shd w:fill="F1F5F9" w:val="clear"/>
            <w:tcMar>
              <w:top w:type="dxa" w:w="80"/>
              <w:left w:type="dxa" w:w="120"/>
              <w:bottom w:type="dxa" w:w="80"/>
              <w:right w:type="dxa" w:w="120"/>
            </w:tcMar>
            <w:vAlign w:val="center"/>
          </w:tcPr>
          <w:p>
            <w:pPr>
              <w:spacing w:after="0"/>
            </w:pPr>
            <w:r>
              <w:rPr>
                <w:b/>
                <w:bCs/>
                <w:color w:val="0F172A"/>
                <w:sz w:val="20"/>
                <w:szCs w:val="20"/>
              </w:rPr>
              <w:t xml:space="preserve">Version</w:t>
            </w:r>
          </w:p>
        </w:tc>
        <w:tc>
          <w:tcPr>
            <w:tcW w:type="dxa" w:w="3400"/>
            <w:tcMar>
              <w:top w:type="dxa" w:w="80"/>
              <w:left w:type="dxa" w:w="120"/>
              <w:bottom w:type="dxa" w:w="80"/>
              <w:right w:type="dxa" w:w="120"/>
            </w:tcMar>
            <w:vAlign w:val="center"/>
          </w:tcPr>
          <w:p>
            <w:pPr>
              <w:spacing w:after="0"/>
            </w:pPr>
            <w:r>
              <w:rPr>
                <w:color w:val="2563EB"/>
                <w:sz w:val="20"/>
                <w:szCs w:val="20"/>
              </w:rPr>
              <w:t xml:space="preserve">[0.1 — Draft]</w:t>
            </w:r>
          </w:p>
        </w:tc>
      </w:tr>
      <w:tr>
        <w:tc>
          <w:tcPr>
            <w:tcW w:type="dxa" w:w="2000"/>
            <w:shd w:fill="F1F5F9" w:val="clear"/>
            <w:tcMar>
              <w:top w:type="dxa" w:w="80"/>
              <w:left w:type="dxa" w:w="120"/>
              <w:bottom w:type="dxa" w:w="80"/>
              <w:right w:type="dxa" w:w="120"/>
            </w:tcMar>
            <w:vAlign w:val="center"/>
          </w:tcPr>
          <w:p>
            <w:pPr>
              <w:spacing w:after="0"/>
            </w:pPr>
            <w:r>
              <w:rPr>
                <w:b/>
                <w:bCs/>
                <w:color w:val="0F172A"/>
                <w:sz w:val="20"/>
                <w:szCs w:val="20"/>
              </w:rPr>
              <w:t xml:space="preserve">Date</w:t>
            </w:r>
          </w:p>
        </w:tc>
        <w:tc>
          <w:tcPr>
            <w:tcW w:type="dxa" w:w="3400"/>
            <w:tcMar>
              <w:top w:type="dxa" w:w="80"/>
              <w:left w:type="dxa" w:w="120"/>
              <w:bottom w:type="dxa" w:w="80"/>
              <w:right w:type="dxa" w:w="120"/>
            </w:tcMar>
            <w:vAlign w:val="center"/>
          </w:tcPr>
          <w:p>
            <w:pPr>
              <w:spacing w:after="0"/>
            </w:pPr>
            <w:r>
              <w:rPr>
                <w:color w:val="2563EB"/>
                <w:sz w:val="20"/>
                <w:szCs w:val="20"/>
              </w:rPr>
              <w:t xml:space="preserve">[Date]</w:t>
            </w:r>
          </w:p>
        </w:tc>
      </w:tr>
      <w:tr>
        <w:tc>
          <w:tcPr>
            <w:tcW w:type="dxa" w:w="2000"/>
            <w:shd w:fill="F1F5F9" w:val="clear"/>
            <w:tcMar>
              <w:top w:type="dxa" w:w="80"/>
              <w:left w:type="dxa" w:w="120"/>
              <w:bottom w:type="dxa" w:w="80"/>
              <w:right w:type="dxa" w:w="120"/>
            </w:tcMar>
            <w:vAlign w:val="center"/>
          </w:tcPr>
          <w:p>
            <w:pPr>
              <w:spacing w:after="0"/>
            </w:pPr>
            <w:r>
              <w:rPr>
                <w:b/>
                <w:bCs/>
                <w:color w:val="0F172A"/>
                <w:sz w:val="20"/>
                <w:szCs w:val="20"/>
              </w:rPr>
              <w:t xml:space="preserve">Owner</w:t>
            </w:r>
          </w:p>
        </w:tc>
        <w:tc>
          <w:tcPr>
            <w:tcW w:type="dxa" w:w="3400"/>
            <w:tcMar>
              <w:top w:type="dxa" w:w="80"/>
              <w:left w:type="dxa" w:w="120"/>
              <w:bottom w:type="dxa" w:w="80"/>
              <w:right w:type="dxa" w:w="120"/>
            </w:tcMar>
            <w:vAlign w:val="center"/>
          </w:tcPr>
          <w:p>
            <w:pPr>
              <w:spacing w:after="0"/>
            </w:pPr>
            <w:r>
              <w:rPr>
                <w:color w:val="2563EB"/>
                <w:sz w:val="20"/>
                <w:szCs w:val="20"/>
              </w:rPr>
              <w:t xml:space="preserve">[Practice lead name]</w:t>
            </w:r>
          </w:p>
        </w:tc>
      </w:tr>
      <w:tr>
        <w:tc>
          <w:tcPr>
            <w:tcW w:type="dxa" w:w="2000"/>
            <w:shd w:fill="F1F5F9" w:val="clear"/>
            <w:tcMar>
              <w:top w:type="dxa" w:w="80"/>
              <w:left w:type="dxa" w:w="120"/>
              <w:bottom w:type="dxa" w:w="80"/>
              <w:right w:type="dxa" w:w="120"/>
            </w:tcMar>
            <w:vAlign w:val="center"/>
          </w:tcPr>
          <w:p>
            <w:pPr>
              <w:spacing w:after="0"/>
            </w:pPr>
            <w:r>
              <w:rPr>
                <w:b/>
                <w:bCs/>
                <w:color w:val="0F172A"/>
                <w:sz w:val="20"/>
                <w:szCs w:val="20"/>
              </w:rPr>
              <w:t xml:space="preserve">Approved by</w:t>
            </w:r>
          </w:p>
        </w:tc>
        <w:tc>
          <w:tcPr>
            <w:tcW w:type="dxa" w:w="3400"/>
            <w:tcMar>
              <w:top w:type="dxa" w:w="80"/>
              <w:left w:type="dxa" w:w="120"/>
              <w:bottom w:type="dxa" w:w="80"/>
              <w:right w:type="dxa" w:w="120"/>
            </w:tcMar>
            <w:vAlign w:val="center"/>
          </w:tcPr>
          <w:p>
            <w:pPr>
              <w:spacing w:after="0"/>
            </w:pPr>
            <w:r>
              <w:rPr>
                <w:color w:val="2563EB"/>
                <w:sz w:val="20"/>
                <w:szCs w:val="20"/>
              </w:rPr>
              <w:t xml:space="preserve">[Sponsor name]</w:t>
            </w:r>
          </w:p>
        </w:tc>
      </w:tr>
    </w:tbl>
    <w:p>
      <w:r>
        <w:br w:type="page"/>
      </w:r>
    </w:p>
    <w:p>
      <w:pPr>
        <w:pStyle w:val="Heading1"/>
        <w:spacing w:after="160" w:before="320"/>
      </w:pPr>
      <w:r>
        <w:t xml:space="preserve">How to Use This Template</w:t>
      </w:r>
    </w:p>
    <w:p>
      <w:pPr>
        <w:spacing w:after="160"/>
      </w:pPr>
      <w:r>
        <w:t xml:space="preserve">This charter template helps you stand up a new business architecture practice or formalize an existing one. </w:t>
      </w:r>
      <w:r>
        <w:t xml:space="preserve">It is deliberately concise: a charter that fits in ten pages gets read, approved, and used; one that runs to fifty gets filed.</w:t>
      </w:r>
    </w:p>
    <w:p>
      <w:pPr>
        <w:pStyle w:val="Heading2"/>
        <w:spacing w:after="120" w:before="220"/>
      </w:pPr>
      <w:r>
        <w:t xml:space="preserve">Working with the template</w:t>
      </w:r>
    </w:p>
    <w:p>
      <w:pPr>
        <w:pStyle w:val="ListParagraph"/>
        <w:numPr>
          <w:ilvl w:val="0"/>
          <w:numId w:val="2"/>
        </w:numPr>
        <w:spacing w:after="80"/>
      </w:pPr>
      <w:r>
        <w:rPr>
          <w:b/>
          <w:bCs/>
        </w:rPr>
        <w:t xml:space="preserve">Replace bracketed placeholders. </w:t>
      </w:r>
      <w:r>
        <w:t xml:space="preserve">Text in </w:t>
      </w:r>
      <w:r>
        <w:rPr>
          <w:color w:val="2563EB"/>
        </w:rPr>
        <w:t xml:space="preserve">[blue brackets]</w:t>
      </w:r>
      <w:r>
        <w:t xml:space="preserve"> marks content you must supply — names, dates, scope statements, and decisions specific to your organization.</w:t>
      </w:r>
    </w:p>
    <w:p>
      <w:pPr>
        <w:pStyle w:val="ListParagraph"/>
        <w:numPr>
          <w:ilvl w:val="0"/>
          <w:numId w:val="2"/>
        </w:numPr>
        <w:spacing w:after="80"/>
      </w:pPr>
      <w:r>
        <w:rPr>
          <w:b/>
          <w:bCs/>
        </w:rPr>
        <w:t xml:space="preserve">Delete the guidance boxes. </w:t>
      </w:r>
      <w:r>
        <w:t xml:space="preserve">Shaded italic boxes explain what each section is for and how to complete it. Remove them all before you publish the charter.</w:t>
      </w:r>
    </w:p>
    <w:p>
      <w:pPr>
        <w:pStyle w:val="ListParagraph"/>
        <w:numPr>
          <w:ilvl w:val="0"/>
          <w:numId w:val="2"/>
        </w:numPr>
        <w:spacing w:after="80"/>
      </w:pPr>
      <w:r>
        <w:rPr>
          <w:b/>
          <w:bCs/>
        </w:rPr>
        <w:t xml:space="preserve">Edit the starter prose. </w:t>
      </w:r>
      <w:r>
        <w:t xml:space="preserve">Each section includes draft wording you can keep, adapt, or replace. Treat it as a starting point, not a mandate.</w:t>
      </w:r>
    </w:p>
    <w:p>
      <w:pPr>
        <w:pStyle w:val="ListParagraph"/>
        <w:numPr>
          <w:ilvl w:val="0"/>
          <w:numId w:val="2"/>
        </w:numPr>
        <w:spacing w:after="80"/>
      </w:pPr>
      <w:r>
        <w:rPr>
          <w:b/>
          <w:bCs/>
        </w:rPr>
        <w:t xml:space="preserve">Tailor the tables. </w:t>
      </w:r>
      <w:r>
        <w:t xml:space="preserve">Add or remove rows and columns in the RACI, services, and roles tables to match your organization's structure and vocabulary.</w:t>
      </w:r>
    </w:p>
    <w:p>
      <w:pPr>
        <w:pStyle w:val="ListParagraph"/>
        <w:numPr>
          <w:ilvl w:val="0"/>
          <w:numId w:val="2"/>
        </w:numPr>
        <w:spacing w:after="80"/>
      </w:pPr>
      <w:r>
        <w:rPr>
          <w:b/>
          <w:bCs/>
        </w:rPr>
        <w:t xml:space="preserve">Update the table of contents. </w:t>
      </w:r>
      <w:r>
        <w:t xml:space="preserve">After editing, right-click the table of contents and choose “Update Field” so page numbers reflect your final document.</w:t>
      </w:r>
    </w:p>
    <w:p>
      <w:pPr>
        <w:pStyle w:val="ListParagraph"/>
        <w:numPr>
          <w:ilvl w:val="0"/>
          <w:numId w:val="2"/>
        </w:numPr>
        <w:spacing w:after="80"/>
      </w:pPr>
      <w:r>
        <w:rPr>
          <w:b/>
          <w:bCs/>
        </w:rPr>
        <w:t xml:space="preserve">Secure sign-off. </w:t>
      </w:r>
      <w:r>
        <w:t xml:space="preserve">Route the finished charter to the sponsor and key stakeholders named in Section 3, then baseline it as version 1.0.</w:t>
      </w:r>
    </w:p>
    <w:p>
      <w:pPr>
        <w:pStyle w:val="Heading2"/>
        <w:spacing w:after="120" w:before="220"/>
      </w:pPr>
      <w: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spacing w:after="160" w:before="320"/>
      </w:pPr>
      <w:r>
        <w:t xml:space="preserve">1. Purpose &amp; Mandate</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State why the practice exists and the authority under which it operates. Keep it to one or two paragraphs a busy executive can absorb in thirty seconds. Anchor the mandate to a named sponsor and to outcomes the organization already cares about, not to architecture activity for its own sake.</w:t>
      </w:r>
    </w:p>
    <w:p>
      <w:pPr>
        <w:spacing w:after="160"/>
      </w:pPr>
      <w:r>
        <w:t xml:space="preserve">The business architecture practice at </w:t>
      </w:r>
      <w:r>
        <w:rPr>
          <w:color w:val="2563EB"/>
        </w:rPr>
        <w:t xml:space="preserve">[Organization name]</w:t>
      </w:r>
      <w:r>
        <w:t xml:space="preserve"> exists to give leaders a clear, shared picture of what the business does, how well it does it, and where change will create the most value. </w:t>
      </w:r>
      <w:r>
        <w:t xml:space="preserve">It translates strategy into actionable views — capabilities, value streams, and operating model designs — that inform investment, prioritization, and transformation decisions.</w:t>
      </w:r>
    </w:p>
    <w:p>
      <w:pPr>
        <w:spacing w:after="160"/>
      </w:pPr>
      <w:r>
        <w:t xml:space="preserve">This charter is issued under the sponsorship of </w:t>
      </w:r>
      <w:r>
        <w:rPr>
          <w:color w:val="2563EB"/>
        </w:rPr>
        <w:t xml:space="preserve">[Executive sponsor, title]</w:t>
      </w:r>
      <w:r>
        <w:t xml:space="preserve"> and authorizes the practice to engage across </w:t>
      </w:r>
      <w:r>
        <w:rPr>
          <w:color w:val="2563EB"/>
        </w:rPr>
        <w:t xml:space="preserve">[business units / functions in scope]</w:t>
      </w:r>
      <w:r>
        <w:t xml:space="preserve">, request the information needed to build and maintain its deliverables, and advise on initiatives where </w:t>
      </w:r>
      <w:r>
        <w:rPr>
          <w:color w:val="2563EB"/>
        </w:rPr>
        <w:t xml:space="preserve">[decision forums, e.g., the investment committee]</w:t>
      </w:r>
      <w:r>
        <w:t xml:space="preserve"> requests an architecture perspective.</w:t>
      </w:r>
    </w:p>
    <w:p>
      <w:pPr>
        <w:pStyle w:val="Heading1"/>
        <w:spacing w:after="160" w:before="320"/>
      </w:pPr>
      <w:r>
        <w:t xml:space="preserve">2. Scope</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Being explicit about what the practice does not do is as valuable as stating what it does. Ambiguous scope is the most common reason young practices are pulled into project delivery work and lose their strategic footing. Adjust both lists to reflect your organization's boundaries and adjacent teams.</w:t>
      </w:r>
    </w:p>
    <w:p>
      <w:pPr>
        <w:pStyle w:val="Heading2"/>
        <w:spacing w:after="120" w:before="220"/>
      </w:pPr>
      <w:r>
        <w:t xml:space="preserve">In scope</w:t>
      </w:r>
    </w:p>
    <w:p>
      <w:pPr>
        <w:pStyle w:val="ListParagraph"/>
        <w:numPr>
          <w:ilvl w:val="0"/>
          <w:numId w:val="2"/>
        </w:numPr>
        <w:spacing w:after="80"/>
      </w:pPr>
      <w:r>
        <w:t xml:space="preserve">Enterprise and </w:t>
      </w:r>
      <w:r>
        <w:rPr>
          <w:color w:val="2563EB"/>
        </w:rPr>
        <w:t xml:space="preserve">[domain/business unit]</w:t>
      </w:r>
      <w:r>
        <w:t xml:space="preserve"> capability modeling and capability assessments.</w:t>
      </w:r>
    </w:p>
    <w:p>
      <w:pPr>
        <w:pStyle w:val="ListParagraph"/>
        <w:numPr>
          <w:ilvl w:val="0"/>
          <w:numId w:val="2"/>
        </w:numPr>
        <w:spacing w:after="80"/>
      </w:pPr>
      <w:r>
        <w:t xml:space="preserve">Value stream identification, mapping, and improvement analysis.</w:t>
      </w:r>
    </w:p>
    <w:p>
      <w:pPr>
        <w:pStyle w:val="ListParagraph"/>
        <w:numPr>
          <w:ilvl w:val="0"/>
          <w:numId w:val="2"/>
        </w:numPr>
        <w:spacing w:after="80"/>
      </w:pPr>
      <w:r>
        <w:t xml:space="preserve">Business-side operating model design and organization alignment views.</w:t>
      </w:r>
    </w:p>
    <w:p>
      <w:pPr>
        <w:pStyle w:val="ListParagraph"/>
        <w:numPr>
          <w:ilvl w:val="0"/>
          <w:numId w:val="2"/>
        </w:numPr>
        <w:spacing w:after="80"/>
      </w:pPr>
      <w:r>
        <w:t xml:space="preserve">Strategy translation: linking objectives to capabilities, initiatives, and investments.</w:t>
      </w:r>
    </w:p>
    <w:p>
      <w:pPr>
        <w:pStyle w:val="ListParagraph"/>
        <w:numPr>
          <w:ilvl w:val="0"/>
          <w:numId w:val="2"/>
        </w:numPr>
        <w:spacing w:after="80"/>
      </w:pPr>
      <w:r>
        <w:t xml:space="preserve">Architecture input to </w:t>
      </w:r>
      <w:r>
        <w:rPr>
          <w:color w:val="2563EB"/>
        </w:rPr>
        <w:t xml:space="preserve">[planning cycle, e.g., annual planning and portfolio review]</w:t>
      </w:r>
      <w:r>
        <w:t xml:space="preserve">.</w:t>
      </w:r>
    </w:p>
    <w:p>
      <w:pPr>
        <w:pStyle w:val="Heading2"/>
        <w:spacing w:after="120" w:before="220"/>
      </w:pPr>
      <w:r>
        <w:t xml:space="preserve">Out of scope</w:t>
      </w:r>
    </w:p>
    <w:p>
      <w:pPr>
        <w:pStyle w:val="ListParagraph"/>
        <w:numPr>
          <w:ilvl w:val="0"/>
          <w:numId w:val="2"/>
        </w:numPr>
        <w:spacing w:after="80"/>
      </w:pPr>
      <w:r>
        <w:t xml:space="preserve">Solution and technical architecture, which remain with </w:t>
      </w:r>
      <w:r>
        <w:rPr>
          <w:color w:val="2563EB"/>
        </w:rPr>
        <w:t xml:space="preserve">[owning team]</w:t>
      </w:r>
      <w:r>
        <w:t xml:space="preserve">.</w:t>
      </w:r>
    </w:p>
    <w:p>
      <w:pPr>
        <w:pStyle w:val="ListParagraph"/>
        <w:numPr>
          <w:ilvl w:val="0"/>
          <w:numId w:val="2"/>
        </w:numPr>
        <w:spacing w:after="80"/>
      </w:pPr>
      <w:r>
        <w:t xml:space="preserve">Project and program delivery management.</w:t>
      </w:r>
    </w:p>
    <w:p>
      <w:pPr>
        <w:pStyle w:val="ListParagraph"/>
        <w:numPr>
          <w:ilvl w:val="0"/>
          <w:numId w:val="2"/>
        </w:numPr>
        <w:spacing w:after="80"/>
      </w:pPr>
      <w:r>
        <w:t xml:space="preserve">Detailed business process re-engineering at the task/procedure level, unless engaged as an advisory service.</w:t>
      </w:r>
    </w:p>
    <w:p>
      <w:pPr>
        <w:pStyle w:val="ListParagraph"/>
        <w:numPr>
          <w:ilvl w:val="0"/>
          <w:numId w:val="2"/>
        </w:numPr>
        <w:spacing w:after="80"/>
      </w:pPr>
      <w:r>
        <w:t xml:space="preserve">Ownership of business cases; the practice informs them, but accountability stays with </w:t>
      </w:r>
      <w:r>
        <w:rPr>
          <w:color w:val="2563EB"/>
        </w:rPr>
        <w:t xml:space="preserve">[business case owners]</w:t>
      </w:r>
      <w:r>
        <w:t xml:space="preserve">.</w:t>
      </w:r>
    </w:p>
    <w:p>
      <w:pPr>
        <w:spacing w:after="160"/>
      </w:pPr>
      <w:r>
        <w:t xml:space="preserve">Boundary questions not settled above are resolved by </w:t>
      </w:r>
      <w:r>
        <w:rPr>
          <w:color w:val="2563EB"/>
        </w:rPr>
        <w:t xml:space="preserve">[Practice lead]</w:t>
      </w:r>
      <w:r>
        <w:t xml:space="preserve"> in consultation with the sponsor, and recorded as amendments under Section 10.</w:t>
      </w:r>
    </w:p>
    <w:p>
      <w:pPr>
        <w:pStyle w:val="Heading1"/>
        <w:spacing w:after="160" w:before="320"/>
      </w:pPr>
      <w:r>
        <w:t xml:space="preserve">3. Sponsorship &amp; Stakeholders</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Name real people and forums, not just titles. The RACI-style skeleton below covers the decisions that most often stall a new practice; edit the activities and stakeholder columns to fit your governance landscape, and confirm each assignment with the person named. Use R = Responsible, A = Accountable, C = Consulted, I = Informed.</w:t>
      </w:r>
    </w:p>
    <w:p>
      <w:pPr>
        <w:spacing w:after="160"/>
      </w:pPr>
      <w:r>
        <w:t xml:space="preserve">The practice is sponsored by </w:t>
      </w:r>
      <w:r>
        <w:rPr>
          <w:color w:val="2563EB"/>
        </w:rPr>
        <w:t xml:space="preserve">[Executive sponsor, title]</w:t>
      </w:r>
      <w:r>
        <w:t xml:space="preserve">, who champions its mandate, secures funding and staffing, and removes organizational obstacles. Day-to-day leadership rests with </w:t>
      </w:r>
      <w:r>
        <w:rPr>
          <w:color w:val="2563EB"/>
        </w:rPr>
        <w:t xml:space="preserve">[Practice lead, title]</w:t>
      </w:r>
      <w:r>
        <w:t xml:space="preserve">. Key stakeholder groups and their involvement in core decisions are set out below.</w:t>
      </w:r>
    </w:p>
    <w:tbl>
      <w:tblPr>
        <w:tblW w:type="dxa" w:w="9360"/>
        <w:tblBorders>
          <w:top w:val="single" w:color="CBD5E1" w:sz="4"/>
          <w:left w:val="single" w:color="CBD5E1" w:sz="4"/>
          <w:bottom w:val="single" w:color="CBD5E1" w:sz="4"/>
          <w:right w:val="single" w:color="CBD5E1" w:sz="4"/>
          <w:insideH w:val="single" w:color="CBD5E1" w:sz="4"/>
          <w:insideV w:val="single" w:color="CBD5E1" w:sz="4"/>
        </w:tblBorders>
      </w:tblPr>
      <w:tblGrid>
        <w:gridCol w:w="2360"/>
        <w:gridCol w:w="1750"/>
        <w:gridCol w:w="1750"/>
        <w:gridCol w:w="1750"/>
        <w:gridCol w:w="1750"/>
      </w:tblGrid>
      <w:tr>
        <w:trPr>
          <w:tblHeader/>
        </w:trPr>
        <w:tc>
          <w:tcPr>
            <w:tcW w:type="dxa" w:w="2360"/>
            <w:shd w:fill="0F172A" w:val="clear"/>
            <w:tcMar>
              <w:top w:type="dxa" w:w="90"/>
              <w:left w:type="dxa" w:w="120"/>
              <w:bottom w:type="dxa" w:w="90"/>
              <w:right w:type="dxa" w:w="120"/>
            </w:tcMar>
            <w:vAlign w:val="center"/>
          </w:tcPr>
          <w:p>
            <w:pPr>
              <w:spacing w:after="0"/>
            </w:pPr>
            <w:r>
              <w:rPr>
                <w:b/>
                <w:bCs/>
                <w:color w:val="FFFFFF"/>
                <w:sz w:val="20"/>
                <w:szCs w:val="20"/>
              </w:rPr>
              <w:t xml:space="preserve">Activity / Decision</w:t>
            </w:r>
          </w:p>
        </w:tc>
        <w:tc>
          <w:tcPr>
            <w:tcW w:type="dxa" w:w="1750"/>
            <w:shd w:fill="0F172A" w:val="clear"/>
            <w:tcMar>
              <w:top w:type="dxa" w:w="90"/>
              <w:left w:type="dxa" w:w="120"/>
              <w:bottom w:type="dxa" w:w="90"/>
              <w:right w:type="dxa" w:w="120"/>
            </w:tcMar>
            <w:vAlign w:val="center"/>
          </w:tcPr>
          <w:p>
            <w:pPr>
              <w:spacing w:after="0"/>
            </w:pPr>
            <w:r>
              <w:rPr>
                <w:b/>
                <w:bCs/>
                <w:color w:val="FFFFFF"/>
                <w:sz w:val="20"/>
                <w:szCs w:val="20"/>
              </w:rPr>
              <w:t xml:space="preserve">[Executive Sponsor]</w:t>
            </w:r>
          </w:p>
        </w:tc>
        <w:tc>
          <w:tcPr>
            <w:tcW w:type="dxa" w:w="1750"/>
            <w:shd w:fill="0F172A" w:val="clear"/>
            <w:tcMar>
              <w:top w:type="dxa" w:w="90"/>
              <w:left w:type="dxa" w:w="120"/>
              <w:bottom w:type="dxa" w:w="90"/>
              <w:right w:type="dxa" w:w="120"/>
            </w:tcMar>
            <w:vAlign w:val="center"/>
          </w:tcPr>
          <w:p>
            <w:pPr>
              <w:spacing w:after="0"/>
            </w:pPr>
            <w:r>
              <w:rPr>
                <w:b/>
                <w:bCs/>
                <w:color w:val="FFFFFF"/>
                <w:sz w:val="20"/>
                <w:szCs w:val="20"/>
              </w:rPr>
              <w:t xml:space="preserve">[Practice Lead]</w:t>
            </w:r>
          </w:p>
        </w:tc>
        <w:tc>
          <w:tcPr>
            <w:tcW w:type="dxa" w:w="1750"/>
            <w:shd w:fill="0F172A" w:val="clear"/>
            <w:tcMar>
              <w:top w:type="dxa" w:w="90"/>
              <w:left w:type="dxa" w:w="120"/>
              <w:bottom w:type="dxa" w:w="90"/>
              <w:right w:type="dxa" w:w="120"/>
            </w:tcMar>
            <w:vAlign w:val="center"/>
          </w:tcPr>
          <w:p>
            <w:pPr>
              <w:spacing w:after="0"/>
            </w:pPr>
            <w:r>
              <w:rPr>
                <w:b/>
                <w:bCs/>
                <w:color w:val="FFFFFF"/>
                <w:sz w:val="20"/>
                <w:szCs w:val="20"/>
              </w:rPr>
              <w:t xml:space="preserve">[Stakeholder group]</w:t>
            </w:r>
          </w:p>
        </w:tc>
        <w:tc>
          <w:tcPr>
            <w:tcW w:type="dxa" w:w="1750"/>
            <w:shd w:fill="0F172A" w:val="clear"/>
            <w:tcMar>
              <w:top w:type="dxa" w:w="90"/>
              <w:left w:type="dxa" w:w="120"/>
              <w:bottom w:type="dxa" w:w="90"/>
              <w:right w:type="dxa" w:w="120"/>
            </w:tcMar>
            <w:vAlign w:val="center"/>
          </w:tcPr>
          <w:p>
            <w:pPr>
              <w:spacing w:after="0"/>
            </w:pPr>
            <w:r>
              <w:rPr>
                <w:b/>
                <w:bCs/>
                <w:color w:val="FFFFFF"/>
                <w:sz w:val="20"/>
                <w:szCs w:val="20"/>
              </w:rPr>
              <w:t xml:space="preserve">[Stakeholder group]</w:t>
            </w:r>
          </w:p>
        </w:tc>
      </w:tr>
      <w:tr>
        <w:trPr>
          <w:cantSplit/>
        </w:trPr>
        <w:tc>
          <w:tcPr>
            <w:tcW w:type="dxa" w:w="2360"/>
            <w:tcMar>
              <w:top w:type="dxa" w:w="80"/>
              <w:left w:type="dxa" w:w="120"/>
              <w:bottom w:type="dxa" w:w="80"/>
              <w:right w:type="dxa" w:w="120"/>
            </w:tcMar>
            <w:vAlign w:val="center"/>
          </w:tcPr>
          <w:p>
            <w:pPr>
              <w:spacing w:after="0"/>
            </w:pPr>
            <w:r>
              <w:t xml:space="preserve">Charter approval and amendment</w:t>
            </w:r>
          </w:p>
        </w:tc>
        <w:tc>
          <w:tcPr>
            <w:tcW w:type="dxa" w:w="1750"/>
            <w:tcMar>
              <w:top w:type="dxa" w:w="80"/>
              <w:left w:type="dxa" w:w="120"/>
              <w:bottom w:type="dxa" w:w="80"/>
              <w:right w:type="dxa" w:w="120"/>
            </w:tcMar>
            <w:vAlign w:val="center"/>
          </w:tcPr>
          <w:p>
            <w:pPr>
              <w:spacing w:after="0"/>
            </w:pPr>
            <w:r>
              <w:t xml:space="preserve">A</w:t>
            </w:r>
          </w:p>
        </w:tc>
        <w:tc>
          <w:tcPr>
            <w:tcW w:type="dxa" w:w="1750"/>
            <w:tcMar>
              <w:top w:type="dxa" w:w="80"/>
              <w:left w:type="dxa" w:w="120"/>
              <w:bottom w:type="dxa" w:w="80"/>
              <w:right w:type="dxa" w:w="120"/>
            </w:tcMar>
            <w:vAlign w:val="center"/>
          </w:tcPr>
          <w:p>
            <w:pPr>
              <w:spacing w:after="0"/>
            </w:pPr>
            <w:r>
              <w:t xml:space="preserve">R</w:t>
            </w:r>
          </w:p>
        </w:tc>
        <w:tc>
          <w:tcPr>
            <w:tcW w:type="dxa" w:w="1750"/>
            <w:tcMar>
              <w:top w:type="dxa" w:w="80"/>
              <w:left w:type="dxa" w:w="120"/>
              <w:bottom w:type="dxa" w:w="80"/>
              <w:right w:type="dxa" w:w="120"/>
            </w:tcMar>
            <w:vAlign w:val="center"/>
          </w:tcPr>
          <w:p>
            <w:pPr>
              <w:spacing w:after="0"/>
            </w:pPr>
            <w:r>
              <w:t xml:space="preserve">C</w:t>
            </w:r>
          </w:p>
        </w:tc>
        <w:tc>
          <w:tcPr>
            <w:tcW w:type="dxa" w:w="1750"/>
            <w:tcMar>
              <w:top w:type="dxa" w:w="80"/>
              <w:left w:type="dxa" w:w="120"/>
              <w:bottom w:type="dxa" w:w="80"/>
              <w:right w:type="dxa" w:w="120"/>
            </w:tcMar>
            <w:vAlign w:val="center"/>
          </w:tcPr>
          <w:p>
            <w:pPr>
              <w:spacing w:after="0"/>
            </w:pPr>
            <w:r>
              <w:t xml:space="preserve">I</w:t>
            </w:r>
          </w:p>
        </w:tc>
      </w:tr>
      <w:tr>
        <w:trPr>
          <w:cantSplit/>
        </w:trPr>
        <w:tc>
          <w:tcPr>
            <w:tcW w:type="dxa" w:w="2360"/>
            <w:shd w:fill="F8FAFC" w:val="clear"/>
            <w:tcMar>
              <w:top w:type="dxa" w:w="80"/>
              <w:left w:type="dxa" w:w="120"/>
              <w:bottom w:type="dxa" w:w="80"/>
              <w:right w:type="dxa" w:w="120"/>
            </w:tcMar>
            <w:vAlign w:val="center"/>
          </w:tcPr>
          <w:p>
            <w:pPr>
              <w:spacing w:after="0"/>
            </w:pPr>
            <w:r>
              <w:t xml:space="preserve">Practice roadmap and priorities</w:t>
            </w:r>
          </w:p>
        </w:tc>
        <w:tc>
          <w:tcPr>
            <w:tcW w:type="dxa" w:w="1750"/>
            <w:shd w:fill="F8FAFC" w:val="clear"/>
            <w:tcMar>
              <w:top w:type="dxa" w:w="80"/>
              <w:left w:type="dxa" w:w="120"/>
              <w:bottom w:type="dxa" w:w="80"/>
              <w:right w:type="dxa" w:w="120"/>
            </w:tcMar>
            <w:vAlign w:val="center"/>
          </w:tcPr>
          <w:p>
            <w:pPr>
              <w:spacing w:after="0"/>
            </w:pPr>
            <w:r>
              <w:t xml:space="preserve">A</w:t>
            </w:r>
          </w:p>
        </w:tc>
        <w:tc>
          <w:tcPr>
            <w:tcW w:type="dxa" w:w="1750"/>
            <w:shd w:fill="F8FAFC" w:val="clear"/>
            <w:tcMar>
              <w:top w:type="dxa" w:w="80"/>
              <w:left w:type="dxa" w:w="120"/>
              <w:bottom w:type="dxa" w:w="80"/>
              <w:right w:type="dxa" w:w="120"/>
            </w:tcMar>
            <w:vAlign w:val="center"/>
          </w:tcPr>
          <w:p>
            <w:pPr>
              <w:spacing w:after="0"/>
            </w:pPr>
            <w:r>
              <w:t xml:space="preserve">R</w:t>
            </w:r>
          </w:p>
        </w:tc>
        <w:tc>
          <w:tcPr>
            <w:tcW w:type="dxa" w:w="1750"/>
            <w:shd w:fill="F8FAFC" w:val="clear"/>
            <w:tcMar>
              <w:top w:type="dxa" w:w="80"/>
              <w:left w:type="dxa" w:w="120"/>
              <w:bottom w:type="dxa" w:w="80"/>
              <w:right w:type="dxa" w:w="120"/>
            </w:tcMar>
            <w:vAlign w:val="center"/>
          </w:tcPr>
          <w:p>
            <w:pPr>
              <w:spacing w:after="0"/>
            </w:pPr>
            <w:r>
              <w:t xml:space="preserve">C</w:t>
            </w:r>
          </w:p>
        </w:tc>
        <w:tc>
          <w:tcPr>
            <w:tcW w:type="dxa" w:w="1750"/>
            <w:shd w:fill="F8FAFC" w:val="clear"/>
            <w:tcMar>
              <w:top w:type="dxa" w:w="80"/>
              <w:left w:type="dxa" w:w="120"/>
              <w:bottom w:type="dxa" w:w="80"/>
              <w:right w:type="dxa" w:w="120"/>
            </w:tcMar>
            <w:vAlign w:val="center"/>
          </w:tcPr>
          <w:p>
            <w:pPr>
              <w:spacing w:after="0"/>
            </w:pPr>
            <w:r>
              <w:t xml:space="preserve">C</w:t>
            </w:r>
          </w:p>
        </w:tc>
      </w:tr>
      <w:tr>
        <w:trPr>
          <w:cantSplit/>
        </w:trPr>
        <w:tc>
          <w:tcPr>
            <w:tcW w:type="dxa" w:w="2360"/>
            <w:tcMar>
              <w:top w:type="dxa" w:w="80"/>
              <w:left w:type="dxa" w:w="120"/>
              <w:bottom w:type="dxa" w:w="80"/>
              <w:right w:type="dxa" w:w="120"/>
            </w:tcMar>
            <w:vAlign w:val="center"/>
          </w:tcPr>
          <w:p>
            <w:pPr>
              <w:spacing w:after="0"/>
            </w:pPr>
            <w:r>
              <w:t xml:space="preserve">Deliverable review and sign-off</w:t>
            </w:r>
          </w:p>
        </w:tc>
        <w:tc>
          <w:tcPr>
            <w:tcW w:type="dxa" w:w="1750"/>
            <w:tcMar>
              <w:top w:type="dxa" w:w="80"/>
              <w:left w:type="dxa" w:w="120"/>
              <w:bottom w:type="dxa" w:w="80"/>
              <w:right w:type="dxa" w:w="120"/>
            </w:tcMar>
            <w:vAlign w:val="center"/>
          </w:tcPr>
          <w:p>
            <w:pPr>
              <w:spacing w:after="0"/>
            </w:pPr>
            <w:r>
              <w:t xml:space="preserve">I</w:t>
            </w:r>
          </w:p>
        </w:tc>
        <w:tc>
          <w:tcPr>
            <w:tcW w:type="dxa" w:w="1750"/>
            <w:tcMar>
              <w:top w:type="dxa" w:w="80"/>
              <w:left w:type="dxa" w:w="120"/>
              <w:bottom w:type="dxa" w:w="80"/>
              <w:right w:type="dxa" w:w="120"/>
            </w:tcMar>
            <w:vAlign w:val="center"/>
          </w:tcPr>
          <w:p>
            <w:pPr>
              <w:spacing w:after="0"/>
            </w:pPr>
            <w:r>
              <w:t xml:space="preserve">A</w:t>
            </w:r>
          </w:p>
        </w:tc>
        <w:tc>
          <w:tcPr>
            <w:tcW w:type="dxa" w:w="1750"/>
            <w:tcMar>
              <w:top w:type="dxa" w:w="80"/>
              <w:left w:type="dxa" w:w="120"/>
              <w:bottom w:type="dxa" w:w="80"/>
              <w:right w:type="dxa" w:w="120"/>
            </w:tcMar>
            <w:vAlign w:val="center"/>
          </w:tcPr>
          <w:p>
            <w:pPr>
              <w:spacing w:after="0"/>
            </w:pPr>
            <w:r>
              <w:t xml:space="preserve">R</w:t>
            </w:r>
          </w:p>
        </w:tc>
        <w:tc>
          <w:tcPr>
            <w:tcW w:type="dxa" w:w="1750"/>
            <w:tcMar>
              <w:top w:type="dxa" w:w="80"/>
              <w:left w:type="dxa" w:w="120"/>
              <w:bottom w:type="dxa" w:w="80"/>
              <w:right w:type="dxa" w:w="120"/>
            </w:tcMar>
            <w:vAlign w:val="center"/>
          </w:tcPr>
          <w:p>
            <w:pPr>
              <w:spacing w:after="0"/>
            </w:pPr>
            <w:r>
              <w:t xml:space="preserve">C</w:t>
            </w:r>
          </w:p>
        </w:tc>
      </w:tr>
      <w:tr>
        <w:trPr>
          <w:cantSplit/>
        </w:trPr>
        <w:tc>
          <w:tcPr>
            <w:tcW w:type="dxa" w:w="2360"/>
            <w:shd w:fill="F8FAFC" w:val="clear"/>
            <w:tcMar>
              <w:top w:type="dxa" w:w="80"/>
              <w:left w:type="dxa" w:w="120"/>
              <w:bottom w:type="dxa" w:w="80"/>
              <w:right w:type="dxa" w:w="120"/>
            </w:tcMar>
            <w:vAlign w:val="center"/>
          </w:tcPr>
          <w:p>
            <w:pPr>
              <w:spacing w:after="0"/>
            </w:pPr>
            <w:r>
              <w:t xml:space="preserve">Methods and standards decisions</w:t>
            </w:r>
          </w:p>
        </w:tc>
        <w:tc>
          <w:tcPr>
            <w:tcW w:type="dxa" w:w="1750"/>
            <w:shd w:fill="F8FAFC" w:val="clear"/>
            <w:tcMar>
              <w:top w:type="dxa" w:w="80"/>
              <w:left w:type="dxa" w:w="120"/>
              <w:bottom w:type="dxa" w:w="80"/>
              <w:right w:type="dxa" w:w="120"/>
            </w:tcMar>
            <w:vAlign w:val="center"/>
          </w:tcPr>
          <w:p>
            <w:pPr>
              <w:spacing w:after="0"/>
            </w:pPr>
            <w:r>
              <w:t xml:space="preserve">I</w:t>
            </w:r>
          </w:p>
        </w:tc>
        <w:tc>
          <w:tcPr>
            <w:tcW w:type="dxa" w:w="1750"/>
            <w:shd w:fill="F8FAFC" w:val="clear"/>
            <w:tcMar>
              <w:top w:type="dxa" w:w="80"/>
              <w:left w:type="dxa" w:w="120"/>
              <w:bottom w:type="dxa" w:w="80"/>
              <w:right w:type="dxa" w:w="120"/>
            </w:tcMar>
            <w:vAlign w:val="center"/>
          </w:tcPr>
          <w:p>
            <w:pPr>
              <w:spacing w:after="0"/>
            </w:pPr>
            <w:r>
              <w:t xml:space="preserve">A</w:t>
            </w:r>
          </w:p>
        </w:tc>
        <w:tc>
          <w:tcPr>
            <w:tcW w:type="dxa" w:w="1750"/>
            <w:shd w:fill="F8FAFC" w:val="clear"/>
            <w:tcMar>
              <w:top w:type="dxa" w:w="80"/>
              <w:left w:type="dxa" w:w="120"/>
              <w:bottom w:type="dxa" w:w="80"/>
              <w:right w:type="dxa" w:w="120"/>
            </w:tcMar>
            <w:vAlign w:val="center"/>
          </w:tcPr>
          <w:p>
            <w:pPr>
              <w:spacing w:after="0"/>
            </w:pPr>
            <w:r>
              <w:t xml:space="preserve">C</w:t>
            </w:r>
          </w:p>
        </w:tc>
        <w:tc>
          <w:tcPr>
            <w:tcW w:type="dxa" w:w="1750"/>
            <w:shd w:fill="F8FAFC" w:val="clear"/>
            <w:tcMar>
              <w:top w:type="dxa" w:w="80"/>
              <w:left w:type="dxa" w:w="120"/>
              <w:bottom w:type="dxa" w:w="80"/>
              <w:right w:type="dxa" w:w="120"/>
            </w:tcMar>
            <w:vAlign w:val="center"/>
          </w:tcPr>
          <w:p>
            <w:pPr>
              <w:spacing w:after="0"/>
            </w:pPr>
            <w:r>
              <w:t xml:space="preserve">C</w:t>
            </w:r>
          </w:p>
        </w:tc>
      </w:tr>
      <w:tr>
        <w:trPr>
          <w:cantSplit/>
        </w:trPr>
        <w:tc>
          <w:tcPr>
            <w:tcW w:type="dxa" w:w="2360"/>
            <w:tcMar>
              <w:top w:type="dxa" w:w="80"/>
              <w:left w:type="dxa" w:w="120"/>
              <w:bottom w:type="dxa" w:w="80"/>
              <w:right w:type="dxa" w:w="120"/>
            </w:tcMar>
            <w:vAlign w:val="center"/>
          </w:tcPr>
          <w:p>
            <w:pPr>
              <w:spacing w:after="0"/>
            </w:pPr>
            <w:r>
              <w:t xml:space="preserve">Funding and staffing</w:t>
            </w:r>
          </w:p>
        </w:tc>
        <w:tc>
          <w:tcPr>
            <w:tcW w:type="dxa" w:w="1750"/>
            <w:tcMar>
              <w:top w:type="dxa" w:w="80"/>
              <w:left w:type="dxa" w:w="120"/>
              <w:bottom w:type="dxa" w:w="80"/>
              <w:right w:type="dxa" w:w="120"/>
            </w:tcMar>
            <w:vAlign w:val="center"/>
          </w:tcPr>
          <w:p>
            <w:pPr>
              <w:spacing w:after="0"/>
            </w:pPr>
            <w:r>
              <w:t xml:space="preserve">A</w:t>
            </w:r>
          </w:p>
        </w:tc>
        <w:tc>
          <w:tcPr>
            <w:tcW w:type="dxa" w:w="1750"/>
            <w:tcMar>
              <w:top w:type="dxa" w:w="80"/>
              <w:left w:type="dxa" w:w="120"/>
              <w:bottom w:type="dxa" w:w="80"/>
              <w:right w:type="dxa" w:w="120"/>
            </w:tcMar>
            <w:vAlign w:val="center"/>
          </w:tcPr>
          <w:p>
            <w:pPr>
              <w:spacing w:after="0"/>
            </w:pPr>
            <w:r>
              <w:t xml:space="preserve">C</w:t>
            </w:r>
          </w:p>
        </w:tc>
        <w:tc>
          <w:tcPr>
            <w:tcW w:type="dxa" w:w="1750"/>
            <w:tcMar>
              <w:top w:type="dxa" w:w="80"/>
              <w:left w:type="dxa" w:w="120"/>
              <w:bottom w:type="dxa" w:w="80"/>
              <w:right w:type="dxa" w:w="120"/>
            </w:tcMar>
            <w:vAlign w:val="center"/>
          </w:tcPr>
          <w:p>
            <w:pPr>
              <w:spacing w:after="0"/>
            </w:pPr>
            <w:r>
              <w:t xml:space="preserve">I</w:t>
            </w:r>
          </w:p>
        </w:tc>
        <w:tc>
          <w:tcPr>
            <w:tcW w:type="dxa" w:w="1750"/>
            <w:tcMar>
              <w:top w:type="dxa" w:w="80"/>
              <w:left w:type="dxa" w:w="120"/>
              <w:bottom w:type="dxa" w:w="80"/>
              <w:right w:type="dxa" w:w="120"/>
            </w:tcMar>
            <w:vAlign w:val="center"/>
          </w:tcPr>
          <w:p>
            <w:pPr>
              <w:spacing w:after="0"/>
            </w:pPr>
            <w:r>
              <w:t xml:space="preserve">I</w:t>
            </w:r>
          </w:p>
        </w:tc>
      </w:tr>
    </w:tbl>
    <w:p>
      <w:pPr>
        <w:spacing w:after="0"/>
      </w:pPr>
      <w:r>
        <w:t xml:space="preserve"/>
      </w:r>
    </w:p>
    <w:p>
      <w:pPr>
        <w:pStyle w:val="Heading1"/>
        <w:spacing w:after="160" w:before="320"/>
      </w:pPr>
      <w:r>
        <w:t xml:space="preserve">4. Services &amp; Deliverables</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This catalog is the practice's public promise: what stakeholders can ask for and what they will receive. Keep each service outcome-oriented and name a concrete deliverable for it. Start small — three or four services done well build more credibility than a ten-line menu the team cannot staff.</w:t>
      </w:r>
    </w:p>
    <w:tbl>
      <w:tblPr>
        <w:tblW w:type="dxa" w:w="9360"/>
        <w:tblBorders>
          <w:top w:val="single" w:color="CBD5E1" w:sz="4"/>
          <w:left w:val="single" w:color="CBD5E1" w:sz="4"/>
          <w:bottom w:val="single" w:color="CBD5E1" w:sz="4"/>
          <w:right w:val="single" w:color="CBD5E1" w:sz="4"/>
          <w:insideH w:val="single" w:color="CBD5E1" w:sz="4"/>
          <w:insideV w:val="single" w:color="CBD5E1" w:sz="4"/>
        </w:tblBorders>
      </w:tblPr>
      <w:tblGrid>
        <w:gridCol w:w="2200"/>
        <w:gridCol w:w="3900"/>
        <w:gridCol w:w="3260"/>
      </w:tblGrid>
      <w:tr>
        <w:trPr>
          <w:tblHeader/>
        </w:trPr>
        <w:tc>
          <w:tcPr>
            <w:tcW w:type="dxa" w:w="2200"/>
            <w:shd w:fill="0F172A" w:val="clear"/>
            <w:tcMar>
              <w:top w:type="dxa" w:w="90"/>
              <w:left w:type="dxa" w:w="120"/>
              <w:bottom w:type="dxa" w:w="90"/>
              <w:right w:type="dxa" w:w="120"/>
            </w:tcMar>
            <w:vAlign w:val="center"/>
          </w:tcPr>
          <w:p>
            <w:pPr>
              <w:spacing w:after="0"/>
            </w:pPr>
            <w:r>
              <w:rPr>
                <w:b/>
                <w:bCs/>
                <w:color w:val="FFFFFF"/>
                <w:sz w:val="20"/>
                <w:szCs w:val="20"/>
              </w:rPr>
              <w:t xml:space="preserve">Service</w:t>
            </w:r>
          </w:p>
        </w:tc>
        <w:tc>
          <w:tcPr>
            <w:tcW w:type="dxa" w:w="3900"/>
            <w:shd w:fill="0F172A" w:val="clear"/>
            <w:tcMar>
              <w:top w:type="dxa" w:w="90"/>
              <w:left w:type="dxa" w:w="120"/>
              <w:bottom w:type="dxa" w:w="90"/>
              <w:right w:type="dxa" w:w="120"/>
            </w:tcMar>
            <w:vAlign w:val="center"/>
          </w:tcPr>
          <w:p>
            <w:pPr>
              <w:spacing w:after="0"/>
            </w:pPr>
            <w:r>
              <w:rPr>
                <w:b/>
                <w:bCs/>
                <w:color w:val="FFFFFF"/>
                <w:sz w:val="20"/>
                <w:szCs w:val="20"/>
              </w:rPr>
              <w:t xml:space="preserve">Description</w:t>
            </w:r>
          </w:p>
        </w:tc>
        <w:tc>
          <w:tcPr>
            <w:tcW w:type="dxa" w:w="3260"/>
            <w:shd w:fill="0F172A" w:val="clear"/>
            <w:tcMar>
              <w:top w:type="dxa" w:w="90"/>
              <w:left w:type="dxa" w:w="120"/>
              <w:bottom w:type="dxa" w:w="90"/>
              <w:right w:type="dxa" w:w="120"/>
            </w:tcMar>
            <w:vAlign w:val="center"/>
          </w:tcPr>
          <w:p>
            <w:pPr>
              <w:spacing w:after="0"/>
            </w:pPr>
            <w:r>
              <w:rPr>
                <w:b/>
                <w:bCs/>
                <w:color w:val="FFFFFF"/>
                <w:sz w:val="20"/>
                <w:szCs w:val="20"/>
              </w:rPr>
              <w:t xml:space="preserve">Typical deliverables</w:t>
            </w:r>
          </w:p>
        </w:tc>
      </w:tr>
      <w:tr>
        <w:trPr>
          <w:cantSplit/>
        </w:trPr>
        <w:tc>
          <w:tcPr>
            <w:tcW w:type="dxa" w:w="2200"/>
            <w:tcMar>
              <w:top w:type="dxa" w:w="80"/>
              <w:left w:type="dxa" w:w="120"/>
              <w:bottom w:type="dxa" w:w="80"/>
              <w:right w:type="dxa" w:w="120"/>
            </w:tcMar>
            <w:vAlign w:val="center"/>
          </w:tcPr>
          <w:p>
            <w:pPr>
              <w:spacing w:after="0"/>
            </w:pPr>
            <w:r>
              <w:t xml:space="preserve">Capability modeling</w:t>
            </w:r>
          </w:p>
        </w:tc>
        <w:tc>
          <w:tcPr>
            <w:tcW w:type="dxa" w:w="3900"/>
            <w:tcMar>
              <w:top w:type="dxa" w:w="80"/>
              <w:left w:type="dxa" w:w="120"/>
              <w:bottom w:type="dxa" w:w="80"/>
              <w:right w:type="dxa" w:w="120"/>
            </w:tcMar>
            <w:vAlign w:val="center"/>
          </w:tcPr>
          <w:p>
            <w:pPr>
              <w:spacing w:after="0"/>
            </w:pPr>
            <w:r>
              <w:t xml:space="preserve">Build and maintain the </w:t>
            </w:r>
            <w:r>
              <w:rPr>
                <w:color w:val="2563EB"/>
              </w:rPr>
              <w:t xml:space="preserve">[enterprise / domain]</w:t>
            </w:r>
            <w:r>
              <w:t xml:space="preserve"> business capability model as a shared vocabulary for planning and investment discussions.</w:t>
            </w:r>
          </w:p>
        </w:tc>
        <w:tc>
          <w:tcPr>
            <w:tcW w:type="dxa" w:w="3260"/>
            <w:tcMar>
              <w:top w:type="dxa" w:w="80"/>
              <w:left w:type="dxa" w:w="120"/>
              <w:bottom w:type="dxa" w:w="80"/>
              <w:right w:type="dxa" w:w="120"/>
            </w:tcMar>
            <w:vAlign w:val="center"/>
          </w:tcPr>
          <w:p>
            <w:pPr>
              <w:spacing w:after="0"/>
            </w:pPr>
            <w:r>
              <w:t xml:space="preserve">Capability model; capability definitions; heatmapped capability assessments</w:t>
            </w:r>
          </w:p>
        </w:tc>
      </w:tr>
      <w:tr>
        <w:trPr>
          <w:cantSplit/>
        </w:trPr>
        <w:tc>
          <w:tcPr>
            <w:tcW w:type="dxa" w:w="2200"/>
            <w:shd w:fill="F8FAFC" w:val="clear"/>
            <w:tcMar>
              <w:top w:type="dxa" w:w="80"/>
              <w:left w:type="dxa" w:w="120"/>
              <w:bottom w:type="dxa" w:w="80"/>
              <w:right w:type="dxa" w:w="120"/>
            </w:tcMar>
            <w:vAlign w:val="center"/>
          </w:tcPr>
          <w:p>
            <w:pPr>
              <w:spacing w:after="0"/>
            </w:pPr>
            <w:r>
              <w:t xml:space="preserve">Value stream mapping</w:t>
            </w:r>
          </w:p>
        </w:tc>
        <w:tc>
          <w:tcPr>
            <w:tcW w:type="dxa" w:w="3900"/>
            <w:shd w:fill="F8FAFC" w:val="clear"/>
            <w:tcMar>
              <w:top w:type="dxa" w:w="80"/>
              <w:left w:type="dxa" w:w="120"/>
              <w:bottom w:type="dxa" w:w="80"/>
              <w:right w:type="dxa" w:w="120"/>
            </w:tcMar>
            <w:vAlign w:val="center"/>
          </w:tcPr>
          <w:p>
            <w:pPr>
              <w:spacing w:after="0"/>
            </w:pPr>
            <w:r>
              <w:t xml:space="preserve">Identify and map the value streams that deliver outcomes to customers and other stakeholders, and connect them to enabling capabilities.</w:t>
            </w:r>
          </w:p>
        </w:tc>
        <w:tc>
          <w:tcPr>
            <w:tcW w:type="dxa" w:w="3260"/>
            <w:shd w:fill="F8FAFC" w:val="clear"/>
            <w:tcMar>
              <w:top w:type="dxa" w:w="80"/>
              <w:left w:type="dxa" w:w="120"/>
              <w:bottom w:type="dxa" w:w="80"/>
              <w:right w:type="dxa" w:w="120"/>
            </w:tcMar>
            <w:vAlign w:val="center"/>
          </w:tcPr>
          <w:p>
            <w:pPr>
              <w:spacing w:after="0"/>
            </w:pPr>
            <w:r>
              <w:t xml:space="preserve">Value stream inventory; value stream / capability cross-mappings</w:t>
            </w:r>
          </w:p>
        </w:tc>
      </w:tr>
      <w:tr>
        <w:trPr>
          <w:cantSplit/>
        </w:trPr>
        <w:tc>
          <w:tcPr>
            <w:tcW w:type="dxa" w:w="2200"/>
            <w:tcMar>
              <w:top w:type="dxa" w:w="80"/>
              <w:left w:type="dxa" w:w="120"/>
              <w:bottom w:type="dxa" w:w="80"/>
              <w:right w:type="dxa" w:w="120"/>
            </w:tcMar>
            <w:vAlign w:val="center"/>
          </w:tcPr>
          <w:p>
            <w:pPr>
              <w:spacing w:after="0"/>
            </w:pPr>
            <w:r>
              <w:t xml:space="preserve">Operating model design</w:t>
            </w:r>
          </w:p>
        </w:tc>
        <w:tc>
          <w:tcPr>
            <w:tcW w:type="dxa" w:w="3900"/>
            <w:tcMar>
              <w:top w:type="dxa" w:w="80"/>
              <w:left w:type="dxa" w:w="120"/>
              <w:bottom w:type="dxa" w:w="80"/>
              <w:right w:type="dxa" w:w="120"/>
            </w:tcMar>
            <w:vAlign w:val="center"/>
          </w:tcPr>
          <w:p>
            <w:pPr>
              <w:spacing w:after="0"/>
            </w:pPr>
            <w:r>
              <w:t xml:space="preserve">Design target operating model views for </w:t>
            </w:r>
            <w:r>
              <w:rPr>
                <w:color w:val="2563EB"/>
              </w:rPr>
              <w:t xml:space="preserve">[transformation initiative or domain]</w:t>
            </w:r>
            <w:r>
              <w:t xml:space="preserve">, covering structure, capabilities, and ways of working.</w:t>
            </w:r>
          </w:p>
        </w:tc>
        <w:tc>
          <w:tcPr>
            <w:tcW w:type="dxa" w:w="3260"/>
            <w:tcMar>
              <w:top w:type="dxa" w:w="80"/>
              <w:left w:type="dxa" w:w="120"/>
              <w:bottom w:type="dxa" w:w="80"/>
              <w:right w:type="dxa" w:w="120"/>
            </w:tcMar>
            <w:vAlign w:val="center"/>
          </w:tcPr>
          <w:p>
            <w:pPr>
              <w:spacing w:after="0"/>
            </w:pPr>
            <w:r>
              <w:t xml:space="preserve">Current and target operating model blueprints; transition considerations</w:t>
            </w:r>
          </w:p>
        </w:tc>
      </w:tr>
      <w:tr>
        <w:trPr>
          <w:cantSplit/>
        </w:trPr>
        <w:tc>
          <w:tcPr>
            <w:tcW w:type="dxa" w:w="2200"/>
            <w:shd w:fill="F8FAFC" w:val="clear"/>
            <w:tcMar>
              <w:top w:type="dxa" w:w="80"/>
              <w:left w:type="dxa" w:w="120"/>
              <w:bottom w:type="dxa" w:w="80"/>
              <w:right w:type="dxa" w:w="120"/>
            </w:tcMar>
            <w:vAlign w:val="center"/>
          </w:tcPr>
          <w:p>
            <w:pPr>
              <w:spacing w:after="0"/>
            </w:pPr>
            <w:r>
              <w:t xml:space="preserve">Assessments</w:t>
            </w:r>
          </w:p>
        </w:tc>
        <w:tc>
          <w:tcPr>
            <w:tcW w:type="dxa" w:w="3900"/>
            <w:shd w:fill="F8FAFC" w:val="clear"/>
            <w:tcMar>
              <w:top w:type="dxa" w:w="80"/>
              <w:left w:type="dxa" w:w="120"/>
              <w:bottom w:type="dxa" w:w="80"/>
              <w:right w:type="dxa" w:w="120"/>
            </w:tcMar>
            <w:vAlign w:val="center"/>
          </w:tcPr>
          <w:p>
            <w:pPr>
              <w:spacing w:after="0"/>
            </w:pPr>
            <w:r>
              <w:t xml:space="preserve">Assess capability maturity, gaps, and readiness to support prioritization and investment decisions.</w:t>
            </w:r>
          </w:p>
        </w:tc>
        <w:tc>
          <w:tcPr>
            <w:tcW w:type="dxa" w:w="3260"/>
            <w:shd w:fill="F8FAFC" w:val="clear"/>
            <w:tcMar>
              <w:top w:type="dxa" w:w="80"/>
              <w:left w:type="dxa" w:w="120"/>
              <w:bottom w:type="dxa" w:w="80"/>
              <w:right w:type="dxa" w:w="120"/>
            </w:tcMar>
            <w:vAlign w:val="center"/>
          </w:tcPr>
          <w:p>
            <w:pPr>
              <w:spacing w:after="0"/>
            </w:pPr>
            <w:r>
              <w:t xml:space="preserve">Assessment findings; gap analysis; prioritization inputs</w:t>
            </w:r>
          </w:p>
        </w:tc>
      </w:tr>
      <w:tr>
        <w:trPr>
          <w:cantSplit/>
        </w:trPr>
        <w:tc>
          <w:tcPr>
            <w:tcW w:type="dxa" w:w="2200"/>
            <w:tcMar>
              <w:top w:type="dxa" w:w="80"/>
              <w:left w:type="dxa" w:w="120"/>
              <w:bottom w:type="dxa" w:w="80"/>
              <w:right w:type="dxa" w:w="120"/>
            </w:tcMar>
            <w:vAlign w:val="center"/>
          </w:tcPr>
          <w:p>
            <w:pPr>
              <w:spacing w:after="0"/>
            </w:pPr>
            <w:r>
              <w:t xml:space="preserve">[Add / remove services]</w:t>
            </w:r>
          </w:p>
        </w:tc>
        <w:tc>
          <w:tcPr>
            <w:tcW w:type="dxa" w:w="3900"/>
            <w:tcMar>
              <w:top w:type="dxa" w:w="80"/>
              <w:left w:type="dxa" w:w="120"/>
              <w:bottom w:type="dxa" w:w="80"/>
              <w:right w:type="dxa" w:w="120"/>
            </w:tcMar>
            <w:vAlign w:val="center"/>
          </w:tcPr>
          <w:p>
            <w:pPr>
              <w:spacing w:after="0"/>
            </w:pPr>
            <w:r>
              <w:rPr>
                <w:color w:val="2563EB"/>
              </w:rPr>
              <w:t xml:space="preserve">[Describe the service and the outcome it supports]</w:t>
            </w:r>
          </w:p>
        </w:tc>
        <w:tc>
          <w:tcPr>
            <w:tcW w:type="dxa" w:w="3260"/>
            <w:tcMar>
              <w:top w:type="dxa" w:w="80"/>
              <w:left w:type="dxa" w:w="120"/>
              <w:bottom w:type="dxa" w:w="80"/>
              <w:right w:type="dxa" w:w="120"/>
            </w:tcMar>
            <w:vAlign w:val="center"/>
          </w:tcPr>
          <w:p>
            <w:pPr>
              <w:spacing w:after="0"/>
            </w:pPr>
            <w:r>
              <w:rPr>
                <w:color w:val="2563EB"/>
              </w:rPr>
              <w:t xml:space="preserve">[Name the deliverables]</w:t>
            </w:r>
          </w:p>
        </w:tc>
      </w:tr>
    </w:tbl>
    <w:p>
      <w:pPr>
        <w:spacing w:after="0"/>
      </w:pPr>
      <w:r>
        <w:t xml:space="preserve"/>
      </w:r>
    </w:p>
    <w:p>
      <w:pPr>
        <w:pStyle w:val="Heading1"/>
        <w:spacing w:after="160" w:before="320"/>
      </w:pPr>
      <w:r>
        <w:t xml:space="preserve">5. Operating Rhythm</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A practice without a visible rhythm becomes a request queue. Define how work arrives, how it is prioritized, and the recurring touchpoints that keep deliverables current and stakeholders engaged. Align cadences with planning cycles that already exist rather than inventing new meetings.</w:t>
      </w:r>
    </w:p>
    <w:p>
      <w:pPr>
        <w:pStyle w:val="Heading2"/>
        <w:spacing w:after="120" w:before="220"/>
      </w:pPr>
      <w:r>
        <w:t xml:space="preserve">Intake</w:t>
      </w:r>
    </w:p>
    <w:p>
      <w:pPr>
        <w:spacing w:after="160"/>
      </w:pPr>
      <w:r>
        <w:t xml:space="preserve">Requests for architecture support are submitted via </w:t>
      </w:r>
      <w:r>
        <w:rPr>
          <w:color w:val="2563EB"/>
        </w:rPr>
        <w:t xml:space="preserve">[intake channel, e.g., request form / mailbox / backlog tool]</w:t>
      </w:r>
      <w:r>
        <w:t xml:space="preserve"> and acknowledged within </w:t>
      </w:r>
      <w:r>
        <w:rPr>
          <w:color w:val="2563EB"/>
        </w:rPr>
        <w:t xml:space="preserve">[acknowledgment window]</w:t>
      </w:r>
      <w:r>
        <w:t xml:space="preserve">. Each request is triaged by the practice lead against the services in Section 4.</w:t>
      </w:r>
    </w:p>
    <w:p>
      <w:pPr>
        <w:pStyle w:val="Heading2"/>
        <w:spacing w:after="120" w:before="220"/>
      </w:pPr>
      <w:r>
        <w:t xml:space="preserve">Prioritization</w:t>
      </w:r>
    </w:p>
    <w:p>
      <w:pPr>
        <w:spacing w:after="160"/>
      </w:pPr>
      <w:r>
        <w:t xml:space="preserve">Work is prioritized </w:t>
      </w:r>
      <w:r>
        <w:rPr>
          <w:color w:val="2563EB"/>
        </w:rPr>
        <w:t xml:space="preserve">[cadence, e.g., monthly]</w:t>
      </w:r>
      <w:r>
        <w:t xml:space="preserve"> by </w:t>
      </w:r>
      <w:r>
        <w:rPr>
          <w:color w:val="2563EB"/>
        </w:rPr>
        <w:t xml:space="preserve">[forum or roles]</w:t>
      </w:r>
      <w:r>
        <w:t xml:space="preserve">, weighing strategic alignment, decision deadlines the work must inform, and available capacity. The current priority list is visible to stakeholders at </w:t>
      </w:r>
      <w:r>
        <w:rPr>
          <w:color w:val="2563EB"/>
        </w:rPr>
        <w:t xml:space="preserve">[location]</w:t>
      </w:r>
      <w:r>
        <w:t xml:space="preserve">.</w:t>
      </w:r>
    </w:p>
    <w:p>
      <w:pPr>
        <w:pStyle w:val="Heading2"/>
        <w:spacing w:after="120" w:before="220"/>
      </w:pPr>
      <w:r>
        <w:t xml:space="preserve">Cadences</w:t>
      </w:r>
    </w:p>
    <w:p>
      <w:pPr>
        <w:pStyle w:val="ListParagraph"/>
        <w:numPr>
          <w:ilvl w:val="0"/>
          <w:numId w:val="2"/>
        </w:numPr>
        <w:spacing w:after="80"/>
      </w:pPr>
      <w:r>
        <w:rPr>
          <w:b/>
          <w:bCs/>
        </w:rPr>
        <w:t xml:space="preserve">Weekly: </w:t>
      </w:r>
      <w:r>
        <w:t xml:space="preserve">practice stand-up and work-in-progress review.</w:t>
      </w:r>
    </w:p>
    <w:p>
      <w:pPr>
        <w:pStyle w:val="ListParagraph"/>
        <w:numPr>
          <w:ilvl w:val="0"/>
          <w:numId w:val="2"/>
        </w:numPr>
        <w:spacing w:after="80"/>
      </w:pPr>
      <w:r>
        <w:rPr>
          <w:b/>
          <w:bCs/>
        </w:rPr>
        <w:t xml:space="preserve">Monthly: </w:t>
      </w:r>
      <w:r>
        <w:t xml:space="preserve">stakeholder review of active engagements and intake decisions with </w:t>
      </w:r>
      <w:r>
        <w:rPr>
          <w:color w:val="2563EB"/>
        </w:rPr>
        <w:t xml:space="preserve">[forum]</w:t>
      </w:r>
      <w:r>
        <w:t xml:space="preserve">.</w:t>
      </w:r>
    </w:p>
    <w:p>
      <w:pPr>
        <w:pStyle w:val="ListParagraph"/>
        <w:numPr>
          <w:ilvl w:val="0"/>
          <w:numId w:val="2"/>
        </w:numPr>
        <w:spacing w:after="80"/>
      </w:pPr>
      <w:r>
        <w:rPr>
          <w:b/>
          <w:bCs/>
        </w:rPr>
        <w:t xml:space="preserve">Quarterly: </w:t>
      </w:r>
      <w:r>
        <w:t xml:space="preserve">refresh of capability assessments and the practice roadmap; sponsor checkpoint.</w:t>
      </w:r>
    </w:p>
    <w:p>
      <w:pPr>
        <w:pStyle w:val="ListParagraph"/>
        <w:numPr>
          <w:ilvl w:val="0"/>
          <w:numId w:val="2"/>
        </w:numPr>
        <w:spacing w:after="80"/>
      </w:pPr>
      <w:r>
        <w:rPr>
          <w:b/>
          <w:bCs/>
        </w:rPr>
        <w:t xml:space="preserve">Annually: </w:t>
      </w:r>
      <w:r>
        <w:t xml:space="preserve">charter review (Section 10) and input into </w:t>
      </w:r>
      <w:r>
        <w:rPr>
          <w:color w:val="2563EB"/>
        </w:rPr>
        <w:t xml:space="preserve">[planning cycle]</w:t>
      </w:r>
      <w:r>
        <w:t xml:space="preserve">.</w:t>
      </w:r>
    </w:p>
    <w:p>
      <w:pPr>
        <w:pStyle w:val="Heading1"/>
        <w:spacing w:after="160" w:before="320"/>
      </w:pPr>
      <w:r>
        <w:t xml:space="preserve">6. Methods &amp; Standards</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Keep this section framework-neutral in the charter itself. Naming a specific industry framework here hard-wires a choice that is better made — and revisited — by the practice as it matures. The charter should commit to consistency and documented conventions, and delegate the specific method choices to a living standards document.</w:t>
      </w:r>
    </w:p>
    <w:p>
      <w:pPr>
        <w:spacing w:after="160"/>
      </w:pPr>
      <w:r>
        <w:t xml:space="preserve">The practice maintains a documented set of modeling conventions — naming standards, level-of-detail rules, and quality criteria for each deliverable type — in </w:t>
      </w:r>
      <w:r>
        <w:rPr>
          <w:color w:val="2563EB"/>
        </w:rPr>
        <w:t xml:space="preserve">[standards document location]</w:t>
      </w:r>
      <w:r>
        <w:t xml:space="preserve">. All published deliverables conform to these conventions so that models remain comparable across domains and over time.</w:t>
      </w:r>
    </w:p>
    <w:p>
      <w:pPr>
        <w:spacing w:after="160"/>
      </w:pPr>
      <w:r>
        <w:t xml:space="preserve">The practice may align its methods with one or more recognized business architecture bodies of knowledge or frameworks, as selected by </w:t>
      </w:r>
      <w:r>
        <w:rPr>
          <w:color w:val="2563EB"/>
        </w:rPr>
        <w:t xml:space="preserve">[Practice lead / architecture forum]</w:t>
      </w:r>
      <w:r>
        <w:t xml:space="preserve"> and recorded in the standards document. Framework alignment choices, and any tailoring of them, are reviewed </w:t>
      </w:r>
      <w:r>
        <w:rPr>
          <w:color w:val="2563EB"/>
        </w:rPr>
        <w:t xml:space="preserve">[cadence, e.g., annually]</w:t>
      </w:r>
      <w:r>
        <w:t xml:space="preserve"> and may change without amending this charter.</w:t>
      </w:r>
    </w:p>
    <w:p>
      <w:pPr>
        <w:pStyle w:val="Heading1"/>
        <w:spacing w:after="160" w:before="320"/>
      </w:pPr>
      <w:r>
        <w:t xml:space="preserve">7. Tooling &amp; Repository</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Decide early where architecture content lives and which copy is authoritative — scattered slide decks are where capability models go to die. Whether you start with office documents or a dedicated modeling tool matters less than naming a single system of record and an owner for it.</w:t>
      </w:r>
    </w:p>
    <w:p>
      <w:pPr>
        <w:spacing w:after="160"/>
      </w:pPr>
      <w:r>
        <w:t xml:space="preserve">The authoritative repository for business architecture content is </w:t>
      </w:r>
      <w:r>
        <w:rPr>
          <w:color w:val="2563EB"/>
        </w:rPr>
        <w:t xml:space="preserve">[tool / location]</w:t>
      </w:r>
      <w:r>
        <w:t xml:space="preserve">, administered by </w:t>
      </w:r>
      <w:r>
        <w:rPr>
          <w:color w:val="2563EB"/>
        </w:rPr>
        <w:t xml:space="preserve">[owner]</w:t>
      </w:r>
      <w:r>
        <w:t xml:space="preserve">. Published deliverables carry a version and date, and superseded versions are archived rather than deleted.</w:t>
      </w:r>
    </w:p>
    <w:p>
      <w:pPr>
        <w:pStyle w:val="ListParagraph"/>
        <w:numPr>
          <w:ilvl w:val="0"/>
          <w:numId w:val="2"/>
        </w:numPr>
        <w:spacing w:after="80"/>
      </w:pPr>
      <w:r>
        <w:rPr>
          <w:b/>
          <w:bCs/>
        </w:rPr>
        <w:t xml:space="preserve">Access: </w:t>
      </w:r>
      <w:r>
        <w:rPr>
          <w:color w:val="2563EB"/>
        </w:rPr>
        <w:t xml:space="preserve">[Who can view; who can edit]</w:t>
      </w:r>
      <w:r>
        <w:t xml:space="preserve">.</w:t>
      </w:r>
    </w:p>
    <w:p>
      <w:pPr>
        <w:pStyle w:val="ListParagraph"/>
        <w:numPr>
          <w:ilvl w:val="0"/>
          <w:numId w:val="2"/>
        </w:numPr>
        <w:spacing w:after="80"/>
      </w:pPr>
      <w:r>
        <w:rPr>
          <w:b/>
          <w:bCs/>
        </w:rPr>
        <w:t xml:space="preserve">Working tools: </w:t>
      </w:r>
      <w:r>
        <w:rPr>
          <w:color w:val="2563EB"/>
        </w:rPr>
        <w:t xml:space="preserve">[e.g., modeling tool, diagramming tool, collaboration workspace]</w:t>
      </w:r>
      <w:r>
        <w:t xml:space="preserve">.</w:t>
      </w:r>
    </w:p>
    <w:p>
      <w:pPr>
        <w:pStyle w:val="ListParagraph"/>
        <w:numPr>
          <w:ilvl w:val="0"/>
          <w:numId w:val="2"/>
        </w:numPr>
        <w:spacing w:after="80"/>
      </w:pPr>
      <w:r>
        <w:rPr>
          <w:b/>
          <w:bCs/>
        </w:rPr>
        <w:t xml:space="preserve">Publication: </w:t>
      </w:r>
      <w:r>
        <w:t xml:space="preserve">stakeholder-facing views are published to </w:t>
      </w:r>
      <w:r>
        <w:rPr>
          <w:color w:val="2563EB"/>
        </w:rPr>
        <w:t xml:space="preserve">[portal / site]</w:t>
      </w:r>
      <w:r>
        <w:t xml:space="preserve"> after review per Section 3.</w:t>
      </w:r>
    </w:p>
    <w:p>
      <w:pPr>
        <w:pStyle w:val="Heading1"/>
        <w:spacing w:after="160" w:before="320"/>
      </w:pPr>
      <w:r>
        <w:t xml:space="preserve">8. Success Measures</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Resist the urge to invent precise numeric targets before the practice has a baseline. In the first year, measure whether the practice is used and useful; introduce quantitative targets only once you have real data to set them against. Agree these measures with the sponsor and review them at the cadence set in Section 5.</w:t>
      </w:r>
    </w:p>
    <w:p>
      <w:pPr>
        <w:pStyle w:val="Heading2"/>
        <w:spacing w:after="120" w:before="220"/>
      </w:pPr>
      <w:r>
        <w:t xml:space="preserve">Adoption measures</w:t>
      </w:r>
    </w:p>
    <w:p>
      <w:pPr>
        <w:pStyle w:val="ListParagraph"/>
        <w:numPr>
          <w:ilvl w:val="0"/>
          <w:numId w:val="2"/>
        </w:numPr>
        <w:spacing w:after="80"/>
      </w:pPr>
      <w:r>
        <w:t xml:space="preserve">Deliverables from Section 4 are referenced in </w:t>
      </w:r>
      <w:r>
        <w:rPr>
          <w:color w:val="2563EB"/>
        </w:rPr>
        <w:t xml:space="preserve">[decision forums, e.g., investment and planning reviews]</w:t>
      </w:r>
      <w:r>
        <w:t xml:space="preserve"> when in-scope decisions are made.</w:t>
      </w:r>
    </w:p>
    <w:p>
      <w:pPr>
        <w:pStyle w:val="ListParagraph"/>
        <w:numPr>
          <w:ilvl w:val="0"/>
          <w:numId w:val="2"/>
        </w:numPr>
        <w:spacing w:after="80"/>
      </w:pPr>
      <w:r>
        <w:t xml:space="preserve">Intake requests arrive from a widening range of stakeholder groups, including repeat requesters.</w:t>
      </w:r>
    </w:p>
    <w:p>
      <w:pPr>
        <w:pStyle w:val="ListParagraph"/>
        <w:numPr>
          <w:ilvl w:val="0"/>
          <w:numId w:val="2"/>
        </w:numPr>
        <w:spacing w:after="80"/>
      </w:pPr>
      <w:r>
        <w:t xml:space="preserve">The capability model and value stream maps are current within their agreed refresh cycle.</w:t>
      </w:r>
    </w:p>
    <w:p>
      <w:pPr>
        <w:pStyle w:val="ListParagraph"/>
        <w:numPr>
          <w:ilvl w:val="0"/>
          <w:numId w:val="2"/>
        </w:numPr>
        <w:spacing w:after="80"/>
      </w:pPr>
      <w:r>
        <w:rPr>
          <w:color w:val="2563EB"/>
        </w:rPr>
        <w:t xml:space="preserve">[Add measures observable in your organization]</w:t>
      </w:r>
    </w:p>
    <w:p>
      <w:pPr>
        <w:pStyle w:val="Heading2"/>
        <w:spacing w:after="120" w:before="220"/>
      </w:pPr>
      <w:r>
        <w:t xml:space="preserve">Qualitative measures</w:t>
      </w:r>
    </w:p>
    <w:p>
      <w:pPr>
        <w:pStyle w:val="ListParagraph"/>
        <w:numPr>
          <w:ilvl w:val="0"/>
          <w:numId w:val="2"/>
        </w:numPr>
        <w:spacing w:after="80"/>
      </w:pPr>
      <w:r>
        <w:t xml:space="preserve">Sponsor and stakeholder feedback, gathered </w:t>
      </w:r>
      <w:r>
        <w:rPr>
          <w:color w:val="2563EB"/>
        </w:rPr>
        <w:t xml:space="preserve">[cadence]</w:t>
      </w:r>
      <w:r>
        <w:t xml:space="preserve"> through </w:t>
      </w:r>
      <w:r>
        <w:rPr>
          <w:color w:val="2563EB"/>
        </w:rPr>
        <w:t xml:space="preserve">[mechanism, e.g., short survey or structured interviews]</w:t>
      </w:r>
      <w:r>
        <w:t xml:space="preserve">, indicates the practice's outputs are clear, timely, and decision-relevant.</w:t>
      </w:r>
    </w:p>
    <w:p>
      <w:pPr>
        <w:pStyle w:val="ListParagraph"/>
        <w:numPr>
          <w:ilvl w:val="0"/>
          <w:numId w:val="2"/>
        </w:numPr>
        <w:spacing w:after="80"/>
      </w:pPr>
      <w:r>
        <w:t xml:space="preserve">Stakeholders can articulate what the practice does and when to engage it.</w:t>
      </w:r>
    </w:p>
    <w:p>
      <w:pPr>
        <w:pStyle w:val="ListParagraph"/>
        <w:numPr>
          <w:ilvl w:val="0"/>
          <w:numId w:val="2"/>
        </w:numPr>
        <w:spacing w:after="80"/>
      </w:pPr>
      <w:r>
        <w:t xml:space="preserve">Architecture perspectives are requested earlier in initiative lifecycles over time.</w:t>
      </w:r>
    </w:p>
    <w:p>
      <w:pPr>
        <w:spacing w:after="160"/>
      </w:pPr>
      <w:r>
        <w:t xml:space="preserve">Baseline observations are captured within </w:t>
      </w:r>
      <w:r>
        <w:rPr>
          <w:color w:val="2563EB"/>
        </w:rPr>
        <w:t xml:space="preserve">[period, e.g., the first two quarters]</w:t>
      </w:r>
      <w:r>
        <w:t xml:space="preserve">, after which the practice lead and sponsor agree any quantitative targets.</w:t>
      </w:r>
    </w:p>
    <w:p>
      <w:pPr>
        <w:pStyle w:val="Heading1"/>
        <w:spacing w:after="160" w:before="320"/>
      </w:pPr>
      <w:r>
        <w:t xml:space="preserve">9. Roles &amp; Skills</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Describe the roles the practice needs, not just the people it currently has — gaps identified here feed the staffing conversation with the sponsor. Adjust titles and seniority levels to your organization's job architecture, and note whether each role is dedicated or fractional.</w:t>
      </w:r>
    </w:p>
    <w:tbl>
      <w:tblPr>
        <w:tblW w:type="dxa" w:w="9360"/>
        <w:tblBorders>
          <w:top w:val="single" w:color="CBD5E1" w:sz="4"/>
          <w:left w:val="single" w:color="CBD5E1" w:sz="4"/>
          <w:bottom w:val="single" w:color="CBD5E1" w:sz="4"/>
          <w:right w:val="single" w:color="CBD5E1" w:sz="4"/>
          <w:insideH w:val="single" w:color="CBD5E1" w:sz="4"/>
          <w:insideV w:val="single" w:color="CBD5E1" w:sz="4"/>
        </w:tblBorders>
      </w:tblPr>
      <w:tblGrid>
        <w:gridCol w:w="2000"/>
        <w:gridCol w:w="4160"/>
        <w:gridCol w:w="3200"/>
      </w:tblGrid>
      <w:tr>
        <w:trPr>
          <w:tblHeader/>
        </w:trPr>
        <w:tc>
          <w:tcPr>
            <w:tcW w:type="dxa" w:w="2000"/>
            <w:shd w:fill="0F172A" w:val="clear"/>
            <w:tcMar>
              <w:top w:type="dxa" w:w="90"/>
              <w:left w:type="dxa" w:w="120"/>
              <w:bottom w:type="dxa" w:w="90"/>
              <w:right w:type="dxa" w:w="120"/>
            </w:tcMar>
            <w:vAlign w:val="center"/>
          </w:tcPr>
          <w:p>
            <w:pPr>
              <w:spacing w:after="0"/>
            </w:pPr>
            <w:r>
              <w:rPr>
                <w:b/>
                <w:bCs/>
                <w:color w:val="FFFFFF"/>
                <w:sz w:val="20"/>
                <w:szCs w:val="20"/>
              </w:rPr>
              <w:t xml:space="preserve">Role</w:t>
            </w:r>
          </w:p>
        </w:tc>
        <w:tc>
          <w:tcPr>
            <w:tcW w:type="dxa" w:w="4160"/>
            <w:shd w:fill="0F172A" w:val="clear"/>
            <w:tcMar>
              <w:top w:type="dxa" w:w="90"/>
              <w:left w:type="dxa" w:w="120"/>
              <w:bottom w:type="dxa" w:w="90"/>
              <w:right w:type="dxa" w:w="120"/>
            </w:tcMar>
            <w:vAlign w:val="center"/>
          </w:tcPr>
          <w:p>
            <w:pPr>
              <w:spacing w:after="0"/>
            </w:pPr>
            <w:r>
              <w:rPr>
                <w:b/>
                <w:bCs/>
                <w:color w:val="FFFFFF"/>
                <w:sz w:val="20"/>
                <w:szCs w:val="20"/>
              </w:rPr>
              <w:t xml:space="preserve">Core responsibilities</w:t>
            </w:r>
          </w:p>
        </w:tc>
        <w:tc>
          <w:tcPr>
            <w:tcW w:type="dxa" w:w="3200"/>
            <w:shd w:fill="0F172A" w:val="clear"/>
            <w:tcMar>
              <w:top w:type="dxa" w:w="90"/>
              <w:left w:type="dxa" w:w="120"/>
              <w:bottom w:type="dxa" w:w="90"/>
              <w:right w:type="dxa" w:w="120"/>
            </w:tcMar>
            <w:vAlign w:val="center"/>
          </w:tcPr>
          <w:p>
            <w:pPr>
              <w:spacing w:after="0"/>
            </w:pPr>
            <w:r>
              <w:rPr>
                <w:b/>
                <w:bCs/>
                <w:color w:val="FFFFFF"/>
                <w:sz w:val="20"/>
                <w:szCs w:val="20"/>
              </w:rPr>
              <w:t xml:space="preserve">Key skills &amp; experience</w:t>
            </w:r>
          </w:p>
        </w:tc>
      </w:tr>
      <w:tr>
        <w:trPr>
          <w:cantSplit/>
        </w:trPr>
        <w:tc>
          <w:tcPr>
            <w:tcW w:type="dxa" w:w="2000"/>
            <w:tcMar>
              <w:top w:type="dxa" w:w="80"/>
              <w:left w:type="dxa" w:w="120"/>
              <w:bottom w:type="dxa" w:w="80"/>
              <w:right w:type="dxa" w:w="120"/>
            </w:tcMar>
            <w:vAlign w:val="center"/>
          </w:tcPr>
          <w:p>
            <w:pPr>
              <w:spacing w:after="0"/>
            </w:pPr>
            <w:r>
              <w:t xml:space="preserve">Practice Lead</w:t>
            </w:r>
            <w:r>
              <w:t xml:space="preserve">  </w:t>
            </w:r>
            <w:r>
              <w:rPr>
                <w:color w:val="2563EB"/>
              </w:rPr>
              <w:t xml:space="preserve">[Name]</w:t>
            </w:r>
          </w:p>
        </w:tc>
        <w:tc>
          <w:tcPr>
            <w:tcW w:type="dxa" w:w="4160"/>
            <w:tcMar>
              <w:top w:type="dxa" w:w="80"/>
              <w:left w:type="dxa" w:w="120"/>
              <w:bottom w:type="dxa" w:w="80"/>
              <w:right w:type="dxa" w:w="120"/>
            </w:tcMar>
            <w:vAlign w:val="center"/>
          </w:tcPr>
          <w:p>
            <w:pPr>
              <w:spacing w:after="0"/>
            </w:pPr>
            <w:r>
              <w:t xml:space="preserve">Owns the charter, roadmap, and stakeholder relationships; prioritizes intake; represents the practice in governance forums.</w:t>
            </w:r>
          </w:p>
        </w:tc>
        <w:tc>
          <w:tcPr>
            <w:tcW w:type="dxa" w:w="3200"/>
            <w:tcMar>
              <w:top w:type="dxa" w:w="80"/>
              <w:left w:type="dxa" w:w="120"/>
              <w:bottom w:type="dxa" w:w="80"/>
              <w:right w:type="dxa" w:w="120"/>
            </w:tcMar>
            <w:vAlign w:val="center"/>
          </w:tcPr>
          <w:p>
            <w:pPr>
              <w:spacing w:after="0"/>
            </w:pPr>
            <w:r>
              <w:t xml:space="preserve">Business architecture depth; executive communication; facilitation; planning and portfolio fluency</w:t>
            </w:r>
          </w:p>
        </w:tc>
      </w:tr>
      <w:tr>
        <w:trPr>
          <w:cantSplit/>
        </w:trPr>
        <w:tc>
          <w:tcPr>
            <w:tcW w:type="dxa" w:w="2000"/>
            <w:shd w:fill="F8FAFC" w:val="clear"/>
            <w:tcMar>
              <w:top w:type="dxa" w:w="80"/>
              <w:left w:type="dxa" w:w="120"/>
              <w:bottom w:type="dxa" w:w="80"/>
              <w:right w:type="dxa" w:w="120"/>
            </w:tcMar>
            <w:vAlign w:val="center"/>
          </w:tcPr>
          <w:p>
            <w:pPr>
              <w:spacing w:after="0"/>
            </w:pPr>
            <w:r>
              <w:t xml:space="preserve">Business Architect</w:t>
            </w:r>
            <w:r>
              <w:t xml:space="preserve">  </w:t>
            </w:r>
            <w:r>
              <w:rPr>
                <w:color w:val="2563EB"/>
              </w:rPr>
              <w:t xml:space="preserve">[Name]</w:t>
            </w:r>
          </w:p>
        </w:tc>
        <w:tc>
          <w:tcPr>
            <w:tcW w:type="dxa" w:w="4160"/>
            <w:shd w:fill="F8FAFC" w:val="clear"/>
            <w:tcMar>
              <w:top w:type="dxa" w:w="80"/>
              <w:left w:type="dxa" w:w="120"/>
              <w:bottom w:type="dxa" w:w="80"/>
              <w:right w:type="dxa" w:w="120"/>
            </w:tcMar>
            <w:vAlign w:val="center"/>
          </w:tcPr>
          <w:p>
            <w:pPr>
              <w:spacing w:after="0"/>
            </w:pPr>
            <w:r>
              <w:t xml:space="preserve">Develops capability models, value stream maps, and assessments; facilitates working sessions; maintains repository content.</w:t>
            </w:r>
          </w:p>
        </w:tc>
        <w:tc>
          <w:tcPr>
            <w:tcW w:type="dxa" w:w="3200"/>
            <w:shd w:fill="F8FAFC" w:val="clear"/>
            <w:tcMar>
              <w:top w:type="dxa" w:w="80"/>
              <w:left w:type="dxa" w:w="120"/>
              <w:bottom w:type="dxa" w:w="80"/>
              <w:right w:type="dxa" w:w="120"/>
            </w:tcMar>
            <w:vAlign w:val="center"/>
          </w:tcPr>
          <w:p>
            <w:pPr>
              <w:spacing w:after="0"/>
            </w:pPr>
            <w:r>
              <w:t xml:space="preserve">Capability and value stream modeling; analysis and synthesis; workshop facilitation; domain knowledge</w:t>
            </w:r>
          </w:p>
        </w:tc>
      </w:tr>
      <w:tr>
        <w:trPr>
          <w:cantSplit/>
        </w:trPr>
        <w:tc>
          <w:tcPr>
            <w:tcW w:type="dxa" w:w="2000"/>
            <w:tcMar>
              <w:top w:type="dxa" w:w="80"/>
              <w:left w:type="dxa" w:w="120"/>
              <w:bottom w:type="dxa" w:w="80"/>
              <w:right w:type="dxa" w:w="120"/>
            </w:tcMar>
            <w:vAlign w:val="center"/>
          </w:tcPr>
          <w:p>
            <w:pPr>
              <w:spacing w:after="0"/>
            </w:pPr>
            <w:r>
              <w:t xml:space="preserve">[Associate / domain architect]</w:t>
            </w:r>
            <w:r>
              <w:t xml:space="preserve">  </w:t>
            </w:r>
            <w:r>
              <w:rPr>
                <w:color w:val="2563EB"/>
              </w:rPr>
              <w:t xml:space="preserve">[Name]</w:t>
            </w:r>
          </w:p>
        </w:tc>
        <w:tc>
          <w:tcPr>
            <w:tcW w:type="dxa" w:w="4160"/>
            <w:tcMar>
              <w:top w:type="dxa" w:w="80"/>
              <w:left w:type="dxa" w:w="120"/>
              <w:bottom w:type="dxa" w:w="80"/>
              <w:right w:type="dxa" w:w="120"/>
            </w:tcMar>
            <w:vAlign w:val="center"/>
          </w:tcPr>
          <w:p>
            <w:pPr>
              <w:spacing w:after="0"/>
            </w:pPr>
            <w:r>
              <w:rPr>
                <w:color w:val="2563EB"/>
              </w:rPr>
              <w:t xml:space="preserve">[Supports engagements within a domain; maintains domain views; develops toward the business architect role]</w:t>
            </w:r>
          </w:p>
        </w:tc>
        <w:tc>
          <w:tcPr>
            <w:tcW w:type="dxa" w:w="3200"/>
            <w:tcMar>
              <w:top w:type="dxa" w:w="80"/>
              <w:left w:type="dxa" w:w="120"/>
              <w:bottom w:type="dxa" w:w="80"/>
              <w:right w:type="dxa" w:w="120"/>
            </w:tcMar>
            <w:vAlign w:val="center"/>
          </w:tcPr>
          <w:p>
            <w:pPr>
              <w:spacing w:after="0"/>
            </w:pPr>
            <w:r>
              <w:rPr>
                <w:color w:val="2563EB"/>
              </w:rPr>
              <w:t xml:space="preserve">[Analytical foundation; curiosity about the business; modeling aptitude]</w:t>
            </w:r>
          </w:p>
        </w:tc>
      </w:tr>
      <w:tr>
        <w:trPr>
          <w:cantSplit/>
        </w:trPr>
        <w:tc>
          <w:tcPr>
            <w:tcW w:type="dxa" w:w="2000"/>
            <w:shd w:fill="F8FAFC" w:val="clear"/>
            <w:tcMar>
              <w:top w:type="dxa" w:w="80"/>
              <w:left w:type="dxa" w:w="120"/>
              <w:bottom w:type="dxa" w:w="80"/>
              <w:right w:type="dxa" w:w="120"/>
            </w:tcMar>
            <w:vAlign w:val="center"/>
          </w:tcPr>
          <w:p>
            <w:pPr>
              <w:spacing w:after="0"/>
            </w:pPr>
            <w:r>
              <w:rPr>
                <w:color w:val="2563EB"/>
              </w:rPr>
              <w:t xml:space="preserve">[Add roles]</w:t>
            </w:r>
          </w:p>
        </w:tc>
        <w:tc>
          <w:tcPr>
            <w:tcW w:type="dxa" w:w="4160"/>
            <w:shd w:fill="F8FAFC" w:val="clear"/>
            <w:tcMar>
              <w:top w:type="dxa" w:w="80"/>
              <w:left w:type="dxa" w:w="120"/>
              <w:bottom w:type="dxa" w:w="80"/>
              <w:right w:type="dxa" w:w="120"/>
            </w:tcMar>
            <w:vAlign w:val="center"/>
          </w:tcPr>
          <w:p>
            <w:pPr>
              <w:spacing w:after="0"/>
            </w:pPr>
            <w:r>
              <w:rPr>
                <w:color w:val="2563EB"/>
              </w:rPr>
              <w:t xml:space="preserve">[Responsibilities]</w:t>
            </w:r>
          </w:p>
        </w:tc>
        <w:tc>
          <w:tcPr>
            <w:tcW w:type="dxa" w:w="3200"/>
            <w:shd w:fill="F8FAFC" w:val="clear"/>
            <w:tcMar>
              <w:top w:type="dxa" w:w="80"/>
              <w:left w:type="dxa" w:w="120"/>
              <w:bottom w:type="dxa" w:w="80"/>
              <w:right w:type="dxa" w:w="120"/>
            </w:tcMar>
            <w:vAlign w:val="center"/>
          </w:tcPr>
          <w:p>
            <w:pPr>
              <w:spacing w:after="0"/>
            </w:pPr>
            <w:r>
              <w:rPr>
                <w:color w:val="2563EB"/>
              </w:rPr>
              <w:t xml:space="preserve">[Skills]</w:t>
            </w:r>
          </w:p>
        </w:tc>
      </w:tr>
    </w:tbl>
    <w:p>
      <w:pPr>
        <w:spacing w:before="160"/>
      </w:pPr>
      <w:r>
        <w:t xml:space="preserve">Skill development needs and certification or training choices are agreed between each team member and the practice lead as part of </w:t>
      </w:r>
      <w:r>
        <w:rPr>
          <w:color w:val="2563EB"/>
        </w:rPr>
        <w:t xml:space="preserve">[performance / development process]</w:t>
      </w:r>
      <w:r>
        <w:t xml:space="preserve">.</w:t>
      </w:r>
    </w:p>
    <w:p>
      <w:pPr>
        <w:pStyle w:val="Heading1"/>
        <w:spacing w:after="160" w:before="320"/>
      </w:pPr>
      <w:r>
        <w:t xml:space="preserve">10. Review &amp; Amendment</w:t>
      </w:r>
    </w:p>
    <w:p>
      <w:pPr>
        <w:pBdr>
          <w:top w:val="single" w:color="CBD5E1" w:sz="4" w:space="4"/>
          <w:left w:val="single" w:color="2563EB" w:sz="24" w:space="4"/>
          <w:bottom w:val="single" w:color="CBD5E1" w:sz="4" w:space="4"/>
          <w:right w:val="single" w:color="CBD5E1" w:sz="4" w:space="4"/>
        </w:pBdr>
        <w:shd w:fill="F1F5F9" w:val="clear"/>
        <w:spacing w:after="200" w:before="60"/>
        <w:ind w:left="120" w:right="120"/>
      </w:pPr>
      <w:r>
        <w:rPr>
          <w:b/>
          <w:bCs/>
          <w:i/>
          <w:iCs/>
          <w:color w:val="0F172A"/>
          <w:sz w:val="20"/>
          <w:szCs w:val="20"/>
        </w:rPr>
        <w:t xml:space="preserve">Guidance (delete before publishing): </w:t>
      </w:r>
      <w:r>
        <w:rPr>
          <w:i/>
          <w:iCs/>
          <w:color w:val="475569"/>
          <w:sz w:val="20"/>
          <w:szCs w:val="20"/>
        </w:rPr>
        <w:t xml:space="preserve">A charter that is never revisited quietly expires. Set a lightweight review cycle and a clear amendment path so the document evolves with the practice instead of constraining it. Keep the revision history table current — it is the practice's institutional memory.</w:t>
      </w:r>
    </w:p>
    <w:p>
      <w:pPr>
        <w:spacing w:after="160"/>
      </w:pPr>
      <w:r>
        <w:t xml:space="preserve">This charter is reviewed </w:t>
      </w:r>
      <w:r>
        <w:rPr>
          <w:color w:val="2563EB"/>
        </w:rPr>
        <w:t xml:space="preserve">[cadence, e.g., annually, and after any major reorganization]</w:t>
      </w:r>
      <w:r>
        <w:t xml:space="preserve"> by the practice lead and sponsor. Amendments may be proposed by any stakeholder named in Section 3 and take effect when approved by </w:t>
      </w:r>
      <w:r>
        <w:rPr>
          <w:color w:val="2563EB"/>
        </w:rPr>
        <w:t xml:space="preserve">[approver, e.g., the executive sponsor]</w:t>
      </w:r>
      <w:r>
        <w:t xml:space="preserve">. Approved changes are recorded below and the version number is incremented.</w:t>
      </w:r>
    </w:p>
    <w:tbl>
      <w:tblPr>
        <w:tblW w:type="dxa" w:w="9360"/>
        <w:tblBorders>
          <w:top w:val="single" w:color="CBD5E1" w:sz="4"/>
          <w:left w:val="single" w:color="CBD5E1" w:sz="4"/>
          <w:bottom w:val="single" w:color="CBD5E1" w:sz="4"/>
          <w:right w:val="single" w:color="CBD5E1" w:sz="4"/>
          <w:insideH w:val="single" w:color="CBD5E1" w:sz="4"/>
          <w:insideV w:val="single" w:color="CBD5E1" w:sz="4"/>
        </w:tblBorders>
      </w:tblPr>
      <w:tblGrid>
        <w:gridCol w:w="1300"/>
        <w:gridCol w:w="1700"/>
        <w:gridCol w:w="2400"/>
        <w:gridCol w:w="3960"/>
      </w:tblGrid>
      <w:tr>
        <w:trPr>
          <w:tblHeader/>
        </w:trPr>
        <w:tc>
          <w:tcPr>
            <w:tcW w:type="dxa" w:w="1300"/>
            <w:shd w:fill="0F172A" w:val="clear"/>
            <w:tcMar>
              <w:top w:type="dxa" w:w="90"/>
              <w:left w:type="dxa" w:w="120"/>
              <w:bottom w:type="dxa" w:w="90"/>
              <w:right w:type="dxa" w:w="120"/>
            </w:tcMar>
            <w:vAlign w:val="center"/>
          </w:tcPr>
          <w:p>
            <w:pPr>
              <w:spacing w:after="0"/>
            </w:pPr>
            <w:r>
              <w:rPr>
                <w:b/>
                <w:bCs/>
                <w:color w:val="FFFFFF"/>
                <w:sz w:val="20"/>
                <w:szCs w:val="20"/>
              </w:rPr>
              <w:t xml:space="preserve">Version</w:t>
            </w:r>
          </w:p>
        </w:tc>
        <w:tc>
          <w:tcPr>
            <w:tcW w:type="dxa" w:w="1700"/>
            <w:shd w:fill="0F172A" w:val="clear"/>
            <w:tcMar>
              <w:top w:type="dxa" w:w="90"/>
              <w:left w:type="dxa" w:w="120"/>
              <w:bottom w:type="dxa" w:w="90"/>
              <w:right w:type="dxa" w:w="120"/>
            </w:tcMar>
            <w:vAlign w:val="center"/>
          </w:tcPr>
          <w:p>
            <w:pPr>
              <w:spacing w:after="0"/>
            </w:pPr>
            <w:r>
              <w:rPr>
                <w:b/>
                <w:bCs/>
                <w:color w:val="FFFFFF"/>
                <w:sz w:val="20"/>
                <w:szCs w:val="20"/>
              </w:rPr>
              <w:t xml:space="preserve">Date</w:t>
            </w:r>
          </w:p>
        </w:tc>
        <w:tc>
          <w:tcPr>
            <w:tcW w:type="dxa" w:w="2400"/>
            <w:shd w:fill="0F172A" w:val="clear"/>
            <w:tcMar>
              <w:top w:type="dxa" w:w="90"/>
              <w:left w:type="dxa" w:w="120"/>
              <w:bottom w:type="dxa" w:w="90"/>
              <w:right w:type="dxa" w:w="120"/>
            </w:tcMar>
            <w:vAlign w:val="center"/>
          </w:tcPr>
          <w:p>
            <w:pPr>
              <w:spacing w:after="0"/>
            </w:pPr>
            <w:r>
              <w:rPr>
                <w:b/>
                <w:bCs/>
                <w:color w:val="FFFFFF"/>
                <w:sz w:val="20"/>
                <w:szCs w:val="20"/>
              </w:rPr>
              <w:t xml:space="preserve">Author</w:t>
            </w:r>
          </w:p>
        </w:tc>
        <w:tc>
          <w:tcPr>
            <w:tcW w:type="dxa" w:w="3960"/>
            <w:shd w:fill="0F172A" w:val="clear"/>
            <w:tcMar>
              <w:top w:type="dxa" w:w="90"/>
              <w:left w:type="dxa" w:w="120"/>
              <w:bottom w:type="dxa" w:w="90"/>
              <w:right w:type="dxa" w:w="120"/>
            </w:tcMar>
            <w:vAlign w:val="center"/>
          </w:tcPr>
          <w:p>
            <w:pPr>
              <w:spacing w:after="0"/>
            </w:pPr>
            <w:r>
              <w:rPr>
                <w:b/>
                <w:bCs/>
                <w:color w:val="FFFFFF"/>
                <w:sz w:val="20"/>
                <w:szCs w:val="20"/>
              </w:rPr>
              <w:t xml:space="preserve">Summary of changes</w:t>
            </w:r>
          </w:p>
        </w:tc>
      </w:tr>
      <w:tr>
        <w:trPr>
          <w:cantSplit/>
        </w:trPr>
        <w:tc>
          <w:tcPr>
            <w:tcW w:type="dxa" w:w="1300"/>
            <w:tcMar>
              <w:top w:type="dxa" w:w="80"/>
              <w:left w:type="dxa" w:w="120"/>
              <w:bottom w:type="dxa" w:w="80"/>
              <w:right w:type="dxa" w:w="120"/>
            </w:tcMar>
            <w:vAlign w:val="center"/>
          </w:tcPr>
          <w:p>
            <w:pPr>
              <w:spacing w:after="0"/>
            </w:pPr>
            <w:r>
              <w:rPr>
                <w:color w:val="2563EB"/>
              </w:rPr>
              <w:t xml:space="preserve">[0.1]</w:t>
            </w:r>
          </w:p>
        </w:tc>
        <w:tc>
          <w:tcPr>
            <w:tcW w:type="dxa" w:w="1700"/>
            <w:tcMar>
              <w:top w:type="dxa" w:w="80"/>
              <w:left w:type="dxa" w:w="120"/>
              <w:bottom w:type="dxa" w:w="80"/>
              <w:right w:type="dxa" w:w="120"/>
            </w:tcMar>
            <w:vAlign w:val="center"/>
          </w:tcPr>
          <w:p>
            <w:pPr>
              <w:spacing w:after="0"/>
            </w:pPr>
            <w:r>
              <w:rPr>
                <w:color w:val="2563EB"/>
              </w:rPr>
              <w:t xml:space="preserve">[Date]</w:t>
            </w:r>
          </w:p>
        </w:tc>
        <w:tc>
          <w:tcPr>
            <w:tcW w:type="dxa" w:w="2400"/>
            <w:tcMar>
              <w:top w:type="dxa" w:w="80"/>
              <w:left w:type="dxa" w:w="120"/>
              <w:bottom w:type="dxa" w:w="80"/>
              <w:right w:type="dxa" w:w="120"/>
            </w:tcMar>
            <w:vAlign w:val="center"/>
          </w:tcPr>
          <w:p>
            <w:pPr>
              <w:spacing w:after="0"/>
            </w:pPr>
            <w:r>
              <w:rPr>
                <w:color w:val="2563EB"/>
              </w:rPr>
              <w:t xml:space="preserve">[Author]</w:t>
            </w:r>
          </w:p>
        </w:tc>
        <w:tc>
          <w:tcPr>
            <w:tcW w:type="dxa" w:w="3960"/>
            <w:tcMar>
              <w:top w:type="dxa" w:w="80"/>
              <w:left w:type="dxa" w:w="120"/>
              <w:bottom w:type="dxa" w:w="80"/>
              <w:right w:type="dxa" w:w="120"/>
            </w:tcMar>
            <w:vAlign w:val="center"/>
          </w:tcPr>
          <w:p>
            <w:pPr>
              <w:spacing w:after="0"/>
            </w:pPr>
            <w:r>
              <w:rPr>
                <w:color w:val="2563EB"/>
              </w:rPr>
              <w:t xml:space="preserve">[Initial draft for stakeholder review]</w:t>
            </w:r>
          </w:p>
        </w:tc>
      </w:tr>
      <w:tr>
        <w:trPr>
          <w:cantSplit/>
        </w:trPr>
        <w:tc>
          <w:tcPr>
            <w:tcW w:type="dxa" w:w="1300"/>
            <w:shd w:fill="F8FAFC" w:val="clear"/>
            <w:tcMar>
              <w:top w:type="dxa" w:w="80"/>
              <w:left w:type="dxa" w:w="120"/>
              <w:bottom w:type="dxa" w:w="80"/>
              <w:right w:type="dxa" w:w="120"/>
            </w:tcMar>
            <w:vAlign w:val="center"/>
          </w:tcPr>
          <w:p>
            <w:pPr>
              <w:spacing w:after="0"/>
            </w:pPr>
            <w:r>
              <w:rPr>
                <w:color w:val="2563EB"/>
              </w:rPr>
              <w:t xml:space="preserve">[1.0]</w:t>
            </w:r>
          </w:p>
        </w:tc>
        <w:tc>
          <w:tcPr>
            <w:tcW w:type="dxa" w:w="1700"/>
            <w:shd w:fill="F8FAFC" w:val="clear"/>
            <w:tcMar>
              <w:top w:type="dxa" w:w="80"/>
              <w:left w:type="dxa" w:w="120"/>
              <w:bottom w:type="dxa" w:w="80"/>
              <w:right w:type="dxa" w:w="120"/>
            </w:tcMar>
            <w:vAlign w:val="center"/>
          </w:tcPr>
          <w:p>
            <w:pPr>
              <w:spacing w:after="0"/>
            </w:pPr>
            <w:r>
              <w:rPr>
                <w:color w:val="2563EB"/>
              </w:rPr>
              <w:t xml:space="preserve">[Date]</w:t>
            </w:r>
          </w:p>
        </w:tc>
        <w:tc>
          <w:tcPr>
            <w:tcW w:type="dxa" w:w="2400"/>
            <w:shd w:fill="F8FAFC" w:val="clear"/>
            <w:tcMar>
              <w:top w:type="dxa" w:w="80"/>
              <w:left w:type="dxa" w:w="120"/>
              <w:bottom w:type="dxa" w:w="80"/>
              <w:right w:type="dxa" w:w="120"/>
            </w:tcMar>
            <w:vAlign w:val="center"/>
          </w:tcPr>
          <w:p>
            <w:pPr>
              <w:spacing w:after="0"/>
            </w:pPr>
            <w:r>
              <w:rPr>
                <w:color w:val="2563EB"/>
              </w:rPr>
              <w:t xml:space="preserve">[Author]</w:t>
            </w:r>
          </w:p>
        </w:tc>
        <w:tc>
          <w:tcPr>
            <w:tcW w:type="dxa" w:w="3960"/>
            <w:shd w:fill="F8FAFC" w:val="clear"/>
            <w:tcMar>
              <w:top w:type="dxa" w:w="80"/>
              <w:left w:type="dxa" w:w="120"/>
              <w:bottom w:type="dxa" w:w="80"/>
              <w:right w:type="dxa" w:w="120"/>
            </w:tcMar>
            <w:vAlign w:val="center"/>
          </w:tcPr>
          <w:p>
            <w:pPr>
              <w:spacing w:after="0"/>
            </w:pPr>
            <w:r>
              <w:rPr>
                <w:color w:val="2563EB"/>
              </w:rPr>
              <w:t xml:space="preserve">[Approved baseline]</w:t>
            </w:r>
          </w:p>
        </w:tc>
      </w:tr>
      <w:tr>
        <w:trPr>
          <w:cantSplit/>
        </w:trPr>
        <w:tc>
          <w:tcPr>
            <w:tcW w:type="dxa" w:w="1300"/>
            <w:tcMar>
              <w:top w:type="dxa" w:w="80"/>
              <w:left w:type="dxa" w:w="120"/>
              <w:bottom w:type="dxa" w:w="80"/>
              <w:right w:type="dxa" w:w="120"/>
            </w:tcMar>
            <w:vAlign w:val="center"/>
          </w:tcPr>
          <w:p>
            <w:pPr>
              <w:spacing w:after="0"/>
            </w:pPr>
            <w:r>
              <w:rPr>
                <w:color w:val="2563EB"/>
              </w:rPr>
              <w:t xml:space="preserve">[ ]</w:t>
            </w:r>
          </w:p>
        </w:tc>
        <w:tc>
          <w:tcPr>
            <w:tcW w:type="dxa" w:w="1700"/>
            <w:tcMar>
              <w:top w:type="dxa" w:w="80"/>
              <w:left w:type="dxa" w:w="120"/>
              <w:bottom w:type="dxa" w:w="80"/>
              <w:right w:type="dxa" w:w="120"/>
            </w:tcMar>
            <w:vAlign w:val="center"/>
          </w:tcPr>
          <w:p>
            <w:pPr>
              <w:spacing w:after="0"/>
            </w:pPr>
            <w:r>
              <w:rPr>
                <w:color w:val="2563EB"/>
              </w:rPr>
              <w:t xml:space="preserve">[ ]</w:t>
            </w:r>
          </w:p>
        </w:tc>
        <w:tc>
          <w:tcPr>
            <w:tcW w:type="dxa" w:w="2400"/>
            <w:tcMar>
              <w:top w:type="dxa" w:w="80"/>
              <w:left w:type="dxa" w:w="120"/>
              <w:bottom w:type="dxa" w:w="80"/>
              <w:right w:type="dxa" w:w="120"/>
            </w:tcMar>
            <w:vAlign w:val="center"/>
          </w:tcPr>
          <w:p>
            <w:pPr>
              <w:spacing w:after="0"/>
            </w:pPr>
            <w:r>
              <w:rPr>
                <w:color w:val="2563EB"/>
              </w:rPr>
              <w:t xml:space="preserve">[ ]</w:t>
            </w:r>
          </w:p>
        </w:tc>
        <w:tc>
          <w:tcPr>
            <w:tcW w:type="dxa" w:w="3960"/>
            <w:tcMar>
              <w:top w:type="dxa" w:w="80"/>
              <w:left w:type="dxa" w:w="120"/>
              <w:bottom w:type="dxa" w:w="80"/>
              <w:right w:type="dxa" w:w="120"/>
            </w:tcMar>
            <w:vAlign w:val="center"/>
          </w:tcPr>
          <w:p>
            <w:pPr>
              <w:spacing w:after="0"/>
            </w:pPr>
            <w:r>
              <w:rPr>
                <w:color w:val="2563EB"/>
              </w:rPr>
              <w:t xml:space="preserve">[ ]</w:t>
            </w:r>
          </w:p>
        </w:tc>
      </w:tr>
    </w:tbl>
    <w:p>
      <w:r>
        <w:br w:type="page"/>
      </w:r>
    </w:p>
    <w:p>
      <w:pPr>
        <w:pStyle w:val="Heading1"/>
        <w:spacing w:after="160" w:before="320"/>
      </w:pPr>
      <w:r>
        <w:t xml:space="preserve">Going Further</w:t>
      </w:r>
    </w:p>
    <w:p>
      <w:pPr>
        <w:spacing w:after="160"/>
      </w:pPr>
      <w:r>
        <w:t xml:space="preserve">Capstera publishes practical guides, templates, and tools for business architects. If this charter helped, these resources take the next steps with you.</w:t>
      </w:r>
    </w:p>
    <w:p>
      <w:pPr>
        <w:pStyle w:val="ListParagraph"/>
        <w:numPr>
          <w:ilvl w:val="0"/>
          <w:numId w:val="2"/>
        </w:numPr>
        <w:spacing w:after="80"/>
      </w:pPr>
      <w:r>
        <w:rPr>
          <w:b/>
          <w:bCs/>
        </w:rPr>
        <w:t xml:space="preserve">Business architecture guides: </w:t>
      </w:r>
      <w:hyperlink w:history="1" r:id="rIdpabd5h71shqub5pnaam1o">
        <w:r>
          <w:rPr>
            <w:rStyle w:val="Hyperlink"/>
          </w:rPr>
          <w:t xml:space="preserve">capstera.com/knowledge-hub/articles/business-architecture</w:t>
        </w:r>
      </w:hyperlink>
    </w:p>
    <w:p>
      <w:pPr>
        <w:pStyle w:val="ListParagraph"/>
        <w:numPr>
          <w:ilvl w:val="0"/>
          <w:numId w:val="2"/>
        </w:numPr>
        <w:spacing w:after="80"/>
      </w:pPr>
      <w:r>
        <w:rPr>
          <w:b/>
          <w:bCs/>
        </w:rPr>
        <w:t xml:space="preserve">Business architect career path: </w:t>
      </w:r>
      <w:hyperlink w:history="1" r:id="rIdyqilb3p3uq5zue6oaahnl">
        <w:r>
          <w:rPr>
            <w:rStyle w:val="Hyperlink"/>
          </w:rPr>
          <w:t xml:space="preserve">capstera.com/knowledge-hub/articles/business-architect-career-path</w:t>
        </w:r>
      </w:hyperlink>
    </w:p>
    <w:p>
      <w:pPr>
        <w:pStyle w:val="ListParagraph"/>
        <w:numPr>
          <w:ilvl w:val="0"/>
          <w:numId w:val="2"/>
        </w:numPr>
        <w:spacing w:after="80"/>
      </w:pPr>
      <w:r>
        <w:rPr>
          <w:b/>
          <w:bCs/>
        </w:rPr>
        <w:t xml:space="preserve">Templates and toolkits: </w:t>
      </w:r>
      <w:hyperlink w:history="1" r:id="rIdvppetbnew4vxmd7oss24f">
        <w:r>
          <w:rPr>
            <w:rStyle w:val="Hyperlink"/>
          </w:rPr>
          <w:t xml:space="preserve">capstera.com/store</w:t>
        </w:r>
      </w:hyperlink>
    </w:p>
    <w:p>
      <w:pPr>
        <w:pStyle w:val="ListParagraph"/>
        <w:numPr>
          <w:ilvl w:val="0"/>
          <w:numId w:val="2"/>
        </w:numPr>
        <w:spacing w:after="80"/>
      </w:pPr>
      <w:r>
        <w:rPr>
          <w:b/>
          <w:bCs/>
        </w:rPr>
        <w:t xml:space="preserve">Consulting and advisory support: </w:t>
      </w:r>
      <w:hyperlink w:history="1" r:id="rIdik2tse0ht6kepglcdqyuo">
        <w:r>
          <w:rPr>
            <w:rStyle w:val="Hyperlink"/>
          </w:rPr>
          <w:t xml:space="preserve">capstera.com/consulting</w:t>
        </w:r>
      </w:hyperlink>
    </w:p>
    <w:p>
      <w:pPr>
        <w:spacing w:before="600"/>
      </w:pPr>
    </w:p>
    <w:p>
      <w:pPr>
        <w:pBdr>
          <w:top w:val="single" w:color="CBD5E1" w:sz="4" w:space="4"/>
          <w:left w:val="single" w:color="0D9488" w:sz="24" w:space="4"/>
          <w:right w:val="single" w:color="CBD5E1" w:sz="4" w:space="4"/>
        </w:pBdr>
        <w:shd w:fill="F1F5F9" w:val="clear"/>
        <w:spacing w:after="0" w:before="60"/>
        <w:ind w:left="120" w:right="120"/>
      </w:pPr>
      <w:r>
        <w:rPr>
          <w:b/>
          <w:bCs/>
          <w:color w:val="0F172A"/>
          <w:sz w:val="22"/>
          <w:szCs w:val="22"/>
        </w:rPr>
        <w:t xml:space="preserve">License</w:t>
      </w:r>
    </w:p>
    <w:p>
      <w:pPr>
        <w:pBdr>
          <w:left w:val="single" w:color="0D9488" w:sz="24" w:space="4"/>
          <w:bottom w:val="single" w:color="CBD5E1" w:sz="4" w:space="4"/>
          <w:right w:val="single" w:color="CBD5E1" w:sz="4" w:space="4"/>
        </w:pBdr>
        <w:shd w:fill="F1F5F9" w:val="clear"/>
        <w:spacing w:after="200" w:before="0"/>
        <w:ind w:left="120" w:right="120"/>
      </w:pPr>
      <w:r>
        <w:rPr>
          <w:color w:val="475569"/>
          <w:sz w:val="20"/>
          <w:szCs w:val="20"/>
        </w:rPr>
        <w:t xml:space="preserve">Free to use and adapt within your organization. Provided by Capstera — capstera.com. Not for resale or redistribution as-is.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tabs>
        <w:tab w:val="right" w:pos="9360"/>
      </w:tabs>
      <w:spacing w:after="0"/>
    </w:pPr>
    <w:r>
      <w:rPr>
        <w:color w:val="475569"/>
        <w:sz w:val="18"/>
        <w:szCs w:val="18"/>
      </w:rPr>
      <w:t xml:space="preserve">Capstera — capstera.com</w:t>
    </w:r>
    <w:r>
      <w:rPr>
        <w:sz w:val="18"/>
        <w:szCs w:val="18"/>
      </w:rPr>
      <w:t xml:space="preserve">	</w:t>
    </w:r>
    <w:r>
      <w:rPr>
        <w:color w:val="475569"/>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pBdr>
        <w:bottom w:val="single" w:color="2563EB" w:sz="6" w:space="4"/>
      </w:pBdr>
      <w:spacing w:after="160" w:before="320"/>
    </w:pPr>
    <w:rPr>
      <w:rFonts w:ascii="Calibri" w:cs="Calibri" w:eastAsia="Calibri" w:hAnsi="Calibri"/>
      <w:b/>
      <w:bCs/>
      <w:color w:val="0F172A"/>
      <w:sz w:val="30"/>
      <w:szCs w:val="30"/>
    </w:rPr>
  </w:style>
  <w:style w:type="paragraph" w:styleId="Heading2">
    <w:name w:val="Heading 2"/>
    <w:basedOn w:val="Normal"/>
    <w:next w:val="Normal"/>
    <w:qFormat/>
    <w:pPr>
      <w:keepNext/>
      <w:spacing w:after="100" w:before="220"/>
    </w:pPr>
    <w:rPr>
      <w:rFonts w:ascii="Calibri" w:cs="Calibri" w:eastAsia="Calibri" w:hAnsi="Calibri"/>
      <w:b/>
      <w:bCs/>
      <w:color w:val="2563E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pabd5h71shqub5pnaam1o" Type="http://schemas.openxmlformats.org/officeDocument/2006/relationships/hyperlink" Target="https://capstera.com/knowledge-hub/articles/business-architecture" TargetMode="External"/><Relationship Id="rIdyqilb3p3uq5zue6oaahnl" Type="http://schemas.openxmlformats.org/officeDocument/2006/relationships/hyperlink" Target="https://capstera.com/knowledge-hub/articles/business-architect-career-path" TargetMode="External"/><Relationship Id="rIdvppetbnew4vxmd7oss24f" Type="http://schemas.openxmlformats.org/officeDocument/2006/relationships/hyperlink" Target="https://capstera.com/store" TargetMode="External"/><Relationship Id="rIdik2tse0ht6kepglcdqyuo" Type="http://schemas.openxmlformats.org/officeDocument/2006/relationships/hyperlink" Target="https://capstera.com/consulting" TargetMode="External"/><Relationship Id="rId8" Type="http://schemas.openxmlformats.org/officeDocument/2006/relationships/image" Target="media/5c2c87f06d928263661222852f0ff55292005d34.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Architecture Practice Charter Template</dc:title>
  <dc:creator>Capstera</dc:creator>
  <dc:description>A Capstera template for standing up or formalizing a business architecture practice.</dc:description>
  <cp:lastModifiedBy>Un-named</cp:lastModifiedBy>
  <cp:revision>1</cp:revision>
  <dcterms:created xsi:type="dcterms:W3CDTF">2026-08-09T06:32:53.795Z</dcterms:created>
  <dcterms:modified xsi:type="dcterms:W3CDTF">2026-08-09T06:32:53.795Z</dcterms:modified>
</cp:coreProperties>
</file>

<file path=docProps/custom.xml><?xml version="1.0" encoding="utf-8"?>
<Properties xmlns="http://schemas.openxmlformats.org/officeDocument/2006/custom-properties" xmlns:vt="http://schemas.openxmlformats.org/officeDocument/2006/docPropsVTypes"/>
</file>