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pPr>
      <w:r>
        <w:drawing>
          <wp:inline distT="0" distB="0" distL="0" distR="0">
            <wp:extent cx="2381250"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381250" cy="704850"/>
                    </a:xfrm>
                    <a:prstGeom prst="rect">
                      <a:avLst/>
                    </a:prstGeom>
                  </pic:spPr>
                </pic:pic>
              </a:graphicData>
            </a:graphic>
          </wp:inline>
        </w:drawing>
      </w:r>
    </w:p>
    <w:p>
      <w:pPr>
        <w:spacing w:after="0" w:before="2600"/>
      </w:pPr>
      <w:r>
        <w:rPr>
          <w:rFonts w:ascii="Arial" w:cs="Arial" w:eastAsia="Arial" w:hAnsi="Arial"/>
          <w:b/>
          <w:bCs/>
          <w:color w:val="2563EB"/>
          <w:spacing w:val="40"/>
          <w:sz w:val="22"/>
          <w:szCs w:val="22"/>
        </w:rPr>
        <w:t xml:space="preserve">A CAPSTERA CHECKLIST</w:t>
      </w:r>
    </w:p>
    <w:p>
      <w:pPr>
        <w:spacing w:after="0" w:before="200"/>
      </w:pPr>
      <w:r>
        <w:rPr>
          <w:rFonts w:ascii="Arial" w:cs="Arial" w:eastAsia="Arial" w:hAnsi="Arial"/>
          <w:b/>
          <w:bCs/>
          <w:color w:val="1E293B"/>
          <w:sz w:val="72"/>
          <w:szCs w:val="72"/>
        </w:rPr>
        <w:t xml:space="preserve">Capability Mapping</w:t>
      </w:r>
    </w:p>
    <w:p>
      <w:pPr>
        <w:spacing w:after="240" w:before="0"/>
      </w:pPr>
      <w:r>
        <w:rPr>
          <w:rFonts w:ascii="Arial" w:cs="Arial" w:eastAsia="Arial" w:hAnsi="Arial"/>
          <w:b/>
          <w:bCs/>
          <w:color w:val="1E293B"/>
          <w:sz w:val="72"/>
          <w:szCs w:val="72"/>
        </w:rPr>
        <w:t xml:space="preserve">Project Checklist</w:t>
      </w:r>
    </w:p>
    <w:p>
      <w:pPr>
        <w:pBdr>
          <w:top w:val="single" w:color="F97316" w:sz="16" w:space="8"/>
        </w:pBdr>
        <w:spacing w:after="300"/>
      </w:pPr>
      <w:r>
        <w:rPr>
          <w:rFonts w:ascii="Arial" w:cs="Arial" w:eastAsia="Arial" w:hAnsi="Arial"/>
          <w:color w:val="64748B"/>
          <w:sz w:val="23"/>
          <w:szCs w:val="23"/>
        </w:rPr>
        <w:t xml:space="preserve">A phase-by-phase checklist for running a capability mapping initiative — from kickoff to adoption. Six phases, 48 checkpoints, and the commonly skipped steps that separate maps that get used from maps that get shelved.</w:t>
      </w:r>
    </w:p>
    <w:p>
      <w:pPr>
        <w:spacing w:before="4400"/>
      </w:pPr>
      <w:r>
        <w:rPr>
          <w:rFonts w:ascii="Arial" w:cs="Arial" w:eastAsia="Arial" w:hAnsi="Arial"/>
          <w:b/>
          <w:bCs/>
          <w:color w:val="2563EB"/>
          <w:sz w:val="24"/>
          <w:szCs w:val="24"/>
        </w:rPr>
        <w:t xml:space="preserve">capstera.com</w:t>
      </w:r>
    </w:p>
    <w:p>
      <w:r>
        <w:rPr>
          <w:rFonts w:ascii="Arial" w:cs="Arial" w:eastAsia="Arial" w:hAnsi="Arial"/>
          <w:color w:val="64748B"/>
          <w:sz w:val="19"/>
          <w:szCs w:val="19"/>
        </w:rPr>
        <w:t xml:space="preserve">Business architecture tools, templates, and guides</w:t>
      </w:r>
    </w:p>
    <w:p>
      <w:r>
        <w:br w:type="page"/>
      </w:r>
    </w:p>
    <w:p>
      <w:pPr>
        <w:pStyle w:val="Heading1"/>
        <w:pBdr>
          <w:bottom w:val="single" w:color="2563EB" w:sz="12" w:space="4"/>
        </w:pBdr>
        <w:spacing w:after="60" w:before="120"/>
      </w:pPr>
      <w:r>
        <w:rPr>
          <w:rFonts w:ascii="Arial" w:cs="Arial" w:eastAsia="Arial" w:hAnsi="Arial"/>
          <w:b/>
          <w:bCs/>
          <w:color w:val="1E293B"/>
          <w:sz w:val="26"/>
          <w:szCs w:val="26"/>
        </w:rPr>
        <w:t xml:space="preserve">How to Use This Checklist</w:t>
      </w:r>
    </w:p>
    <w:p>
      <w:pPr>
        <w:spacing w:after="140"/>
      </w:pPr>
      <w:r>
        <w:rPr>
          <w:rFonts w:ascii="Arial" w:cs="Arial" w:eastAsia="Arial" w:hAnsi="Arial"/>
          <w:color w:val="1E293B"/>
          <w:sz w:val="20"/>
          <w:szCs w:val="20"/>
        </w:rPr>
        <w:t xml:space="preserve">This checklist covers a capability mapping initiative in six phases, from securing sponsorship to embedding the map in how your organization plans and decides. Work through it phase by phase and tick items off as you complete them. The phases are sequential, but expect some back-and-forth — validation findings often send you back to the draft, and that is the process working, not failing.</w:t>
      </w:r>
    </w:p>
    <w:p>
      <w:pPr>
        <w:spacing w:after="140"/>
      </w:pPr>
      <w:r>
        <w:rPr>
          <w:rFonts w:ascii="Arial" w:cs="Arial" w:eastAsia="Arial" w:hAnsi="Arial"/>
          <w:color w:val="1E293B"/>
          <w:sz w:val="20"/>
          <w:szCs w:val="20"/>
        </w:rPr>
        <w:t xml:space="preserve">Items marked </w:t>
      </w:r>
      <w:r>
        <w:rPr>
          <w:rFonts w:ascii="Arial" w:cs="Arial" w:eastAsia="Arial" w:hAnsi="Arial"/>
          <w:b/>
          <w:bCs/>
          <w:color w:val="F97316"/>
          <w:sz w:val="19"/>
          <w:szCs w:val="19"/>
        </w:rPr>
        <w:t xml:space="preserve">◆</w:t>
      </w:r>
      <w:r>
        <w:rPr>
          <w:rFonts w:ascii="Arial" w:cs="Arial" w:eastAsia="Arial" w:hAnsi="Arial"/>
          <w:color w:val="1E293B"/>
          <w:sz w:val="20"/>
          <w:szCs w:val="20"/>
        </w:rPr>
        <w:t xml:space="preserve"> are commonly skipped — and commonly regretted. They are the steps teams drop under schedule pressure because nothing visibly breaks when you skip them. The cost arrives later: a veto from an unconsulted stakeholder, a map nobody can find, a heatmap nobody trusts. If you deliberately skip a </w:t>
      </w:r>
      <w:r>
        <w:rPr>
          <w:rFonts w:ascii="Arial" w:cs="Arial" w:eastAsia="Arial" w:hAnsi="Arial"/>
          <w:b/>
          <w:bCs/>
          <w:color w:val="F97316"/>
          <w:sz w:val="19"/>
          <w:szCs w:val="19"/>
        </w:rPr>
        <w:t xml:space="preserve">◆</w:t>
      </w:r>
      <w:r>
        <w:rPr>
          <w:rFonts w:ascii="Arial" w:cs="Arial" w:eastAsia="Arial" w:hAnsi="Arial"/>
          <w:color w:val="1E293B"/>
          <w:sz w:val="20"/>
          <w:szCs w:val="20"/>
        </w:rPr>
        <w:t xml:space="preserve"> item, write down why and who agreed.</w:t>
      </w:r>
    </w:p>
    <w:p>
      <w:pPr>
        <w:spacing w:after="60"/>
      </w:pPr>
      <w:r>
        <w:rPr>
          <w:rFonts w:ascii="Arial" w:cs="Arial" w:eastAsia="Arial" w:hAnsi="Arial"/>
          <w:b/>
          <w:bCs/>
          <w:color w:val="1E293B"/>
          <w:sz w:val="20"/>
          <w:szCs w:val="20"/>
        </w:rPr>
        <w:t xml:space="preserve">Three ground rules before you start:</w:t>
      </w:r>
    </w:p>
    <w:p>
      <w:pPr>
        <w:spacing w:after="40"/>
        <w:ind w:left="240"/>
      </w:pPr>
      <w:r>
        <w:rPr>
          <w:rFonts w:ascii="Arial" w:cs="Arial" w:eastAsia="Arial" w:hAnsi="Arial"/>
          <w:b/>
          <w:bCs/>
          <w:color w:val="2563EB"/>
          <w:sz w:val="20"/>
          <w:szCs w:val="20"/>
        </w:rPr>
        <w:t xml:space="preserve">1.  </w:t>
      </w:r>
      <w:r>
        <w:rPr>
          <w:rFonts w:ascii="Arial" w:cs="Arial" w:eastAsia="Arial" w:hAnsi="Arial"/>
          <w:color w:val="1E293B"/>
          <w:sz w:val="20"/>
          <w:szCs w:val="20"/>
        </w:rPr>
        <w:t xml:space="preserve">Done beats perfect. A good-enough v1 that ships this quarter outperforms a flawless map that ships never.</w:t>
      </w:r>
    </w:p>
    <w:p>
      <w:pPr>
        <w:spacing w:after="40"/>
        <w:ind w:left="240"/>
      </w:pPr>
      <w:r>
        <w:rPr>
          <w:rFonts w:ascii="Arial" w:cs="Arial" w:eastAsia="Arial" w:hAnsi="Arial"/>
          <w:b/>
          <w:bCs/>
          <w:color w:val="2563EB"/>
          <w:sz w:val="20"/>
          <w:szCs w:val="20"/>
        </w:rPr>
        <w:t xml:space="preserve">2.  </w:t>
      </w:r>
      <w:r>
        <w:rPr>
          <w:rFonts w:ascii="Arial" w:cs="Arial" w:eastAsia="Arial" w:hAnsi="Arial"/>
          <w:color w:val="1E293B"/>
          <w:sz w:val="20"/>
          <w:szCs w:val="20"/>
        </w:rPr>
        <w:t xml:space="preserve">The map is a means. Every phase should trace back to the decisions the map exists to inform.</w:t>
      </w:r>
    </w:p>
    <w:p>
      <w:pPr>
        <w:spacing w:after="40"/>
        <w:ind w:left="240"/>
      </w:pPr>
      <w:r>
        <w:rPr>
          <w:rFonts w:ascii="Arial" w:cs="Arial" w:eastAsia="Arial" w:hAnsi="Arial"/>
          <w:b/>
          <w:bCs/>
          <w:color w:val="2563EB"/>
          <w:sz w:val="20"/>
          <w:szCs w:val="20"/>
        </w:rPr>
        <w:t xml:space="preserve">3.  </w:t>
      </w:r>
      <w:r>
        <w:rPr>
          <w:rFonts w:ascii="Arial" w:cs="Arial" w:eastAsia="Arial" w:hAnsi="Arial"/>
          <w:color w:val="1E293B"/>
          <w:sz w:val="20"/>
          <w:szCs w:val="20"/>
        </w:rPr>
        <w:t xml:space="preserve">Adoption starts in Phase 1, not Phase 6. Every workshop, walkthrough, and readback is also a sales call for the map.</w:t>
      </w:r>
    </w:p>
    <w:p>
      <w:pPr>
        <w:pStyle w:val="Heading1"/>
        <w:keepNext/>
        <w:pBdr>
          <w:bottom w:val="single" w:color="2563EB" w:sz="12" w:space="4"/>
        </w:pBdr>
        <w:spacing w:after="80" w:before="440"/>
      </w:pPr>
      <w:r>
        <w:rPr>
          <w:rFonts w:ascii="Arial" w:cs="Arial" w:eastAsia="Arial" w:hAnsi="Arial"/>
          <w:b/>
          <w:bCs/>
          <w:color w:val="2563EB"/>
          <w:sz w:val="26"/>
          <w:szCs w:val="26"/>
        </w:rPr>
        <w:t xml:space="preserve">Phase 1</w:t>
      </w:r>
      <w:r>
        <w:rPr>
          <w:rFonts w:ascii="Arial" w:cs="Arial" w:eastAsia="Arial" w:hAnsi="Arial"/>
          <w:b/>
          <w:bCs/>
          <w:color w:val="1E293B"/>
          <w:sz w:val="26"/>
          <w:szCs w:val="26"/>
        </w:rPr>
        <w:t xml:space="preserve">  |  Scope &amp; Sponsorship</w:t>
      </w:r>
    </w:p>
    <w:p>
      <w:pPr>
        <w:keepNext/>
        <w:spacing w:after="200"/>
      </w:pPr>
      <w:r>
        <w:rPr>
          <w:rFonts w:ascii="Arial" w:cs="Arial" w:eastAsia="Arial" w:hAnsi="Arial"/>
          <w:i/>
          <w:iCs/>
          <w:color w:val="64748B"/>
          <w:sz w:val="19"/>
          <w:szCs w:val="19"/>
        </w:rPr>
        <w:t xml:space="preserve">Most capability maps fail before the first workshop. This phase is about making the map answerable to a decision, a sponsor, and a boundary.</w:t>
      </w:r>
    </w:p>
    <w:tbl>
      <w:tblPr>
        <w:tblW w:type="dxa" w:w="10080"/>
        <w:tblBorders>
          <w:top w:val="single" w:color="CBD5E1" w:sz="4"/>
          <w:left w:val="single" w:color="CBD5E1" w:sz="4"/>
          <w:bottom w:val="single" w:color="CBD5E1" w:sz="4"/>
          <w:right w:val="single" w:color="CBD5E1" w:sz="4"/>
          <w:insideH w:val="single" w:color="CBD5E1" w:sz="4"/>
          <w:insideV w:val="single" w:color="CBD5E1" w:sz="4"/>
        </w:tblBorders>
      </w:tblPr>
      <w:tblGrid>
        <w:gridCol w:w="640"/>
        <w:gridCol w:w="4900"/>
        <w:gridCol w:w="4540"/>
      </w:tblGrid>
      <w:tr>
        <w:trPr>
          <w:tblHeader/>
        </w:trPr>
        <w:tc>
          <w:tcPr>
            <w:tcW w:type="dxa" w:w="640"/>
            <w:shd w:fill="1E293B" w:color="auto" w:val="clear"/>
            <w:tcMar>
              <w:top w:type="dxa" w:w="100"/>
              <w:left w:type="dxa" w:w="120"/>
              <w:bottom w:type="dxa" w:w="100"/>
              <w:right w:type="dxa" w:w="120"/>
            </w:tcMar>
            <w:vAlign w:val="center"/>
          </w:tcPr>
          <w:p>
            <w:pPr>
              <w:jc w:val="center"/>
            </w:pPr>
            <w:r>
              <w:rPr>
                <w:rFonts w:ascii="Arial" w:cs="Arial" w:eastAsia="Arial" w:hAnsi="Arial"/>
                <w:b/>
                <w:bCs/>
                <w:color w:val="FFFFFF"/>
                <w:sz w:val="17"/>
                <w:szCs w:val="17"/>
              </w:rPr>
              <w:t xml:space="preserve">☐</w:t>
            </w:r>
          </w:p>
        </w:tc>
        <w:tc>
          <w:tcPr>
            <w:tcW w:type="dxa" w:w="490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Checklist item</w:t>
            </w:r>
          </w:p>
        </w:tc>
        <w:tc>
          <w:tcPr>
            <w:tcW w:type="dxa" w:w="454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Why it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Executive sponsor named — a specific person, not a committee</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Maps without one accountable sponsor stall at the first hard naming dispute.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Purpose statement written in one sentence: what decisions will this map inform?</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 map built “to have a map” is shelfware by design.</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Scope boundary agreed — enterprise-wide vs. one business unit, with exclusions listed</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Unstated scope resurfaces mid-project as “why isn’t X on here?”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Level-of-depth decision made (e.g., L1–L2 everywhere, L3 only where it earns its keep)</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Uniform depth wastes effort on domains nobody is deciding about.</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Primary use cases ranked — investment planning, app rationalization, M&amp;A, operating model design</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The top use case dictates granularity, enrichment, and audience.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Stakeholder map drawn: who approves, who contributes, who must merely not object</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The person you skip in month one becomes the veto in month four.</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Decision rights defined — who breaks ties on names, definitions, and placement</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Without a tie-breaker, every naming debate becomes a standing meeting.</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Timebox set for a good-enough v1, with a calendar date</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Open-ended mapping efforts polish forever and ship never.</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Success criteria written down (e.g., “map used in next planning cycle”)</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You cannot declare victory — or diagnose failure — without them.</w:t>
            </w:r>
          </w:p>
        </w:tc>
      </w:tr>
    </w:tbl>
    <w:p>
      <w:pPr>
        <w:pStyle w:val="Heading1"/>
        <w:keepNext/>
        <w:pBdr>
          <w:bottom w:val="single" w:color="2563EB" w:sz="12" w:space="4"/>
        </w:pBdr>
        <w:spacing w:after="80" w:before="440"/>
      </w:pPr>
      <w:r>
        <w:rPr>
          <w:rFonts w:ascii="Arial" w:cs="Arial" w:eastAsia="Arial" w:hAnsi="Arial"/>
          <w:b/>
          <w:bCs/>
          <w:color w:val="2563EB"/>
          <w:sz w:val="26"/>
          <w:szCs w:val="26"/>
        </w:rPr>
        <w:t xml:space="preserve">Phase 2</w:t>
      </w:r>
      <w:r>
        <w:rPr>
          <w:rFonts w:ascii="Arial" w:cs="Arial" w:eastAsia="Arial" w:hAnsi="Arial"/>
          <w:b/>
          <w:bCs/>
          <w:color w:val="1E293B"/>
          <w:sz w:val="26"/>
          <w:szCs w:val="26"/>
        </w:rPr>
        <w:t xml:space="preserve">  |  Prepare</w:t>
      </w:r>
    </w:p>
    <w:p>
      <w:pPr>
        <w:keepNext/>
        <w:spacing w:after="200"/>
      </w:pPr>
      <w:r>
        <w:rPr>
          <w:rFonts w:ascii="Arial" w:cs="Arial" w:eastAsia="Arial" w:hAnsi="Arial"/>
          <w:i/>
          <w:iCs/>
          <w:color w:val="64748B"/>
          <w:sz w:val="19"/>
          <w:szCs w:val="19"/>
        </w:rPr>
        <w:t xml:space="preserve">An hour of preparation saves a workshop. Settle the model, the rules, and the people before anyone draws a box.</w:t>
      </w:r>
    </w:p>
    <w:tbl>
      <w:tblPr>
        <w:tblW w:type="dxa" w:w="10080"/>
        <w:tblBorders>
          <w:top w:val="single" w:color="CBD5E1" w:sz="4"/>
          <w:left w:val="single" w:color="CBD5E1" w:sz="4"/>
          <w:bottom w:val="single" w:color="CBD5E1" w:sz="4"/>
          <w:right w:val="single" w:color="CBD5E1" w:sz="4"/>
          <w:insideH w:val="single" w:color="CBD5E1" w:sz="4"/>
          <w:insideV w:val="single" w:color="CBD5E1" w:sz="4"/>
        </w:tblBorders>
      </w:tblPr>
      <w:tblGrid>
        <w:gridCol w:w="640"/>
        <w:gridCol w:w="4900"/>
        <w:gridCol w:w="4540"/>
      </w:tblGrid>
      <w:tr>
        <w:trPr>
          <w:tblHeader/>
        </w:trPr>
        <w:tc>
          <w:tcPr>
            <w:tcW w:type="dxa" w:w="640"/>
            <w:shd w:fill="1E293B" w:color="auto" w:val="clear"/>
            <w:tcMar>
              <w:top w:type="dxa" w:w="100"/>
              <w:left w:type="dxa" w:w="120"/>
              <w:bottom w:type="dxa" w:w="100"/>
              <w:right w:type="dxa" w:w="120"/>
            </w:tcMar>
            <w:vAlign w:val="center"/>
          </w:tcPr>
          <w:p>
            <w:pPr>
              <w:jc w:val="center"/>
            </w:pPr>
            <w:r>
              <w:rPr>
                <w:rFonts w:ascii="Arial" w:cs="Arial" w:eastAsia="Arial" w:hAnsi="Arial"/>
                <w:b/>
                <w:bCs/>
                <w:color w:val="FFFFFF"/>
                <w:sz w:val="17"/>
                <w:szCs w:val="17"/>
              </w:rPr>
              <w:t xml:space="preserve">☐</w:t>
            </w:r>
          </w:p>
        </w:tc>
        <w:tc>
          <w:tcPr>
            <w:tcW w:type="dxa" w:w="490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Checklist item</w:t>
            </w:r>
          </w:p>
        </w:tc>
        <w:tc>
          <w:tcPr>
            <w:tcW w:type="dxa" w:w="454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Why it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Reference model chosen, adapted, or consciously rejected — and the decision recorded</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Revisiting “should we have started from a framework?” mid-draft restarts the project.</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Naming conventions agreed and written on one page (noun phrases; no verbs, org names, or product names)</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Consistent names are what make the map readable by anyone but its authors.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Definition template agreed — what every capability description must contain</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Without a template, definitions range from essays to nothing.</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Participants identified per domain — people who do and know the work, not only managers</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Managers describe the org chart; practitioners describe the capability.</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Existing artifacts collected: process maps, application inventories, org charts, prior mapping attempts</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Prior attempts reveal the landmines — and the allies — before you step on either.</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Workshop logistics locked — sessions scheduled, tools booked, pre-reads sent a week ahead</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Cold-start workshops spend their first hour explaining what a capability is.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One master drafting tool agreed — even if it is a spreadsheet, there is exactly one master copy</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Parallel versions guarantee a painful merge and a credibility hit.</w:t>
            </w:r>
          </w:p>
        </w:tc>
      </w:tr>
    </w:tbl>
    <w:p>
      <w:pPr>
        <w:pStyle w:val="Heading1"/>
        <w:keepNext/>
        <w:pBdr>
          <w:bottom w:val="single" w:color="2563EB" w:sz="12" w:space="4"/>
        </w:pBdr>
        <w:spacing w:after="80" w:before="440"/>
      </w:pPr>
      <w:r>
        <w:rPr>
          <w:rFonts w:ascii="Arial" w:cs="Arial" w:eastAsia="Arial" w:hAnsi="Arial"/>
          <w:b/>
          <w:bCs/>
          <w:color w:val="2563EB"/>
          <w:sz w:val="26"/>
          <w:szCs w:val="26"/>
        </w:rPr>
        <w:t xml:space="preserve">Phase 3</w:t>
      </w:r>
      <w:r>
        <w:rPr>
          <w:rFonts w:ascii="Arial" w:cs="Arial" w:eastAsia="Arial" w:hAnsi="Arial"/>
          <w:b/>
          <w:bCs/>
          <w:color w:val="1E293B"/>
          <w:sz w:val="26"/>
          <w:szCs w:val="26"/>
        </w:rPr>
        <w:t xml:space="preserve">  |  Draft the Map</w:t>
      </w:r>
    </w:p>
    <w:p>
      <w:pPr>
        <w:keepNext/>
        <w:spacing w:after="200"/>
      </w:pPr>
      <w:r>
        <w:rPr>
          <w:rFonts w:ascii="Arial" w:cs="Arial" w:eastAsia="Arial" w:hAnsi="Arial"/>
          <w:i/>
          <w:iCs/>
          <w:color w:val="64748B"/>
          <w:sz w:val="19"/>
          <w:szCs w:val="19"/>
        </w:rPr>
        <w:t xml:space="preserve">Breadth before depth. Get the top level stable and defined; decompose only where the use case demands it.</w:t>
      </w:r>
    </w:p>
    <w:tbl>
      <w:tblPr>
        <w:tblW w:type="dxa" w:w="10080"/>
        <w:tblBorders>
          <w:top w:val="single" w:color="CBD5E1" w:sz="4"/>
          <w:left w:val="single" w:color="CBD5E1" w:sz="4"/>
          <w:bottom w:val="single" w:color="CBD5E1" w:sz="4"/>
          <w:right w:val="single" w:color="CBD5E1" w:sz="4"/>
          <w:insideH w:val="single" w:color="CBD5E1" w:sz="4"/>
          <w:insideV w:val="single" w:color="CBD5E1" w:sz="4"/>
        </w:tblBorders>
      </w:tblPr>
      <w:tblGrid>
        <w:gridCol w:w="640"/>
        <w:gridCol w:w="4900"/>
        <w:gridCol w:w="4540"/>
      </w:tblGrid>
      <w:tr>
        <w:trPr>
          <w:tblHeader/>
        </w:trPr>
        <w:tc>
          <w:tcPr>
            <w:tcW w:type="dxa" w:w="640"/>
            <w:shd w:fill="1E293B" w:color="auto" w:val="clear"/>
            <w:tcMar>
              <w:top w:type="dxa" w:w="100"/>
              <w:left w:type="dxa" w:w="120"/>
              <w:bottom w:type="dxa" w:w="100"/>
              <w:right w:type="dxa" w:w="120"/>
            </w:tcMar>
            <w:vAlign w:val="center"/>
          </w:tcPr>
          <w:p>
            <w:pPr>
              <w:jc w:val="center"/>
            </w:pPr>
            <w:r>
              <w:rPr>
                <w:rFonts w:ascii="Arial" w:cs="Arial" w:eastAsia="Arial" w:hAnsi="Arial"/>
                <w:b/>
                <w:bCs/>
                <w:color w:val="FFFFFF"/>
                <w:sz w:val="17"/>
                <w:szCs w:val="17"/>
              </w:rPr>
              <w:t xml:space="preserve">☐</w:t>
            </w:r>
          </w:p>
        </w:tc>
        <w:tc>
          <w:tcPr>
            <w:tcW w:type="dxa" w:w="490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Checklist item</w:t>
            </w:r>
          </w:p>
        </w:tc>
        <w:tc>
          <w:tcPr>
            <w:tcW w:type="dxa" w:w="454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Why it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L1 workshop held — 7–12 top-level capabilities covering the whole business</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Fewer than 7 hides too much; more than 12 means some are really L2s.</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Every capability named as a noun phrase (“Customer Insight Management”, not “Manage customers”)</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Verb names drift into process thinking and date the map instantly.</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No org units masquerading as capabilities — a department is not a capability</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Org-shaped maps break at the next reorganization.</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No systems or applications as capabilities — “SAP” is not a capability</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System names confuse what the business does with what it currently uses.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No processes as capabilities — capabilities are the what, processes are the how</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Mixing the two produces a map that is neither, and satisfies no one.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One-to-two sentence definition written for every capability, not just the contentious ones</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An undefined box means something different to every reader.</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Overlap-and-gap check run per level — no duplicates, no business activity without a home</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Overlaps cause double-counting in every later scoring exercise.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Parking lot kept for disputes — logged with an owner, decided outside the workshop</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One contested box can burn a whole session if you let it.</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Decomposition stopped at the agreed depth — no L4 “just for completeness”</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Every extra level doubles maintenance cost and halves the audience.</w:t>
            </w:r>
          </w:p>
        </w:tc>
      </w:tr>
    </w:tbl>
    <w:p>
      <w:pPr>
        <w:pStyle w:val="Heading1"/>
        <w:keepNext/>
        <w:pBdr>
          <w:bottom w:val="single" w:color="2563EB" w:sz="12" w:space="4"/>
        </w:pBdr>
        <w:spacing w:after="80" w:before="440"/>
      </w:pPr>
      <w:r>
        <w:rPr>
          <w:rFonts w:ascii="Arial" w:cs="Arial" w:eastAsia="Arial" w:hAnsi="Arial"/>
          <w:b/>
          <w:bCs/>
          <w:color w:val="2563EB"/>
          <w:sz w:val="26"/>
          <w:szCs w:val="26"/>
        </w:rPr>
        <w:t xml:space="preserve">Phase 4</w:t>
      </w:r>
      <w:r>
        <w:rPr>
          <w:rFonts w:ascii="Arial" w:cs="Arial" w:eastAsia="Arial" w:hAnsi="Arial"/>
          <w:b/>
          <w:bCs/>
          <w:color w:val="1E293B"/>
          <w:sz w:val="26"/>
          <w:szCs w:val="26"/>
        </w:rPr>
        <w:t xml:space="preserve">  |  Validate</w:t>
      </w:r>
    </w:p>
    <w:p>
      <w:pPr>
        <w:keepNext/>
        <w:spacing w:after="200"/>
      </w:pPr>
      <w:r>
        <w:rPr>
          <w:rFonts w:ascii="Arial" w:cs="Arial" w:eastAsia="Arial" w:hAnsi="Arial"/>
          <w:i/>
          <w:iCs/>
          <w:color w:val="64748B"/>
          <w:sz w:val="19"/>
          <w:szCs w:val="19"/>
        </w:rPr>
        <w:t xml:space="preserve">A map is validated when people who were not in the room can use it — and when it survives contact with real inventories.</w:t>
      </w:r>
    </w:p>
    <w:tbl>
      <w:tblPr>
        <w:tblW w:type="dxa" w:w="10080"/>
        <w:tblBorders>
          <w:top w:val="single" w:color="CBD5E1" w:sz="4"/>
          <w:left w:val="single" w:color="CBD5E1" w:sz="4"/>
          <w:bottom w:val="single" w:color="CBD5E1" w:sz="4"/>
          <w:right w:val="single" w:color="CBD5E1" w:sz="4"/>
          <w:insideH w:val="single" w:color="CBD5E1" w:sz="4"/>
          <w:insideV w:val="single" w:color="CBD5E1" w:sz="4"/>
        </w:tblBorders>
      </w:tblPr>
      <w:tblGrid>
        <w:gridCol w:w="640"/>
        <w:gridCol w:w="4900"/>
        <w:gridCol w:w="4540"/>
      </w:tblGrid>
      <w:tr>
        <w:trPr>
          <w:tblHeader/>
        </w:trPr>
        <w:tc>
          <w:tcPr>
            <w:tcW w:type="dxa" w:w="640"/>
            <w:shd w:fill="1E293B" w:color="auto" w:val="clear"/>
            <w:tcMar>
              <w:top w:type="dxa" w:w="100"/>
              <w:left w:type="dxa" w:w="120"/>
              <w:bottom w:type="dxa" w:w="100"/>
              <w:right w:type="dxa" w:w="120"/>
            </w:tcMar>
            <w:vAlign w:val="center"/>
          </w:tcPr>
          <w:p>
            <w:pPr>
              <w:jc w:val="center"/>
            </w:pPr>
            <w:r>
              <w:rPr>
                <w:rFonts w:ascii="Arial" w:cs="Arial" w:eastAsia="Arial" w:hAnsi="Arial"/>
                <w:b/>
                <w:bCs/>
                <w:color w:val="FFFFFF"/>
                <w:sz w:val="17"/>
                <w:szCs w:val="17"/>
              </w:rPr>
              <w:t xml:space="preserve">☐</w:t>
            </w:r>
          </w:p>
        </w:tc>
        <w:tc>
          <w:tcPr>
            <w:tcW w:type="dxa" w:w="490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Checklist item</w:t>
            </w:r>
          </w:p>
        </w:tc>
        <w:tc>
          <w:tcPr>
            <w:tcW w:type="dxa" w:w="454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Why it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Walkthrough held per domain with people who do the work, not only leadership</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Practitioners find the missing capability that executives never see.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Executive readback done — the sponsor can explain the L1 map unaided</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If the sponsor cannot narrate it, they cannot defend it in the room that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Cross-check against the process inventory — every major process is supported by a capability</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Gaps found here are cheap; gaps found during planning are embarrassing.</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Cross-check against the application portfolio — every application maps to at least one capability</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Unmappable applications signal a missing capability or a zombie system.</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“Where would X live?” test run with 10 real scenarios (new product, new regulation, new channel)</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 good map places new things quickly; a bad one starts a debate.</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Contested items resolved or explicitly logged with an owner and a decision date</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Silent disagreement resurfaces as sabotage during adoption.</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Version 1.0 frozen, labeled, and announced — further edits go through change control</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Perpetual drafts train the organization to ignore the map.</w:t>
            </w:r>
          </w:p>
        </w:tc>
      </w:tr>
    </w:tbl>
    <w:p>
      <w:pPr>
        <w:pStyle w:val="Heading1"/>
        <w:keepNext/>
        <w:pBdr>
          <w:bottom w:val="single" w:color="2563EB" w:sz="12" w:space="4"/>
        </w:pBdr>
        <w:spacing w:after="80" w:before="440"/>
      </w:pPr>
      <w:r>
        <w:rPr>
          <w:rFonts w:ascii="Arial" w:cs="Arial" w:eastAsia="Arial" w:hAnsi="Arial"/>
          <w:b/>
          <w:bCs/>
          <w:color w:val="2563EB"/>
          <w:sz w:val="26"/>
          <w:szCs w:val="26"/>
        </w:rPr>
        <w:t xml:space="preserve">Phase 5</w:t>
      </w:r>
      <w:r>
        <w:rPr>
          <w:rFonts w:ascii="Arial" w:cs="Arial" w:eastAsia="Arial" w:hAnsi="Arial"/>
          <w:b/>
          <w:bCs/>
          <w:color w:val="1E293B"/>
          <w:sz w:val="26"/>
          <w:szCs w:val="26"/>
        </w:rPr>
        <w:t xml:space="preserve">  |  Enrich &amp; Apply</w:t>
      </w:r>
    </w:p>
    <w:p>
      <w:pPr>
        <w:keepNext/>
        <w:spacing w:after="200"/>
      </w:pPr>
      <w:r>
        <w:rPr>
          <w:rFonts w:ascii="Arial" w:cs="Arial" w:eastAsia="Arial" w:hAnsi="Arial"/>
          <w:i/>
          <w:iCs/>
          <w:color w:val="64748B"/>
          <w:sz w:val="19"/>
          <w:szCs w:val="19"/>
        </w:rPr>
        <w:t xml:space="preserve">The map earns its keep here. Add only the overlays your top use case needs, then use the map on a real decision — soon.</w:t>
      </w:r>
    </w:p>
    <w:tbl>
      <w:tblPr>
        <w:tblW w:type="dxa" w:w="10080"/>
        <w:tblBorders>
          <w:top w:val="single" w:color="CBD5E1" w:sz="4"/>
          <w:left w:val="single" w:color="CBD5E1" w:sz="4"/>
          <w:bottom w:val="single" w:color="CBD5E1" w:sz="4"/>
          <w:right w:val="single" w:color="CBD5E1" w:sz="4"/>
          <w:insideH w:val="single" w:color="CBD5E1" w:sz="4"/>
          <w:insideV w:val="single" w:color="CBD5E1" w:sz="4"/>
        </w:tblBorders>
      </w:tblPr>
      <w:tblGrid>
        <w:gridCol w:w="640"/>
        <w:gridCol w:w="4900"/>
        <w:gridCol w:w="4540"/>
      </w:tblGrid>
      <w:tr>
        <w:trPr>
          <w:tblHeader/>
        </w:trPr>
        <w:tc>
          <w:tcPr>
            <w:tcW w:type="dxa" w:w="640"/>
            <w:shd w:fill="1E293B" w:color="auto" w:val="clear"/>
            <w:tcMar>
              <w:top w:type="dxa" w:w="100"/>
              <w:left w:type="dxa" w:w="120"/>
              <w:bottom w:type="dxa" w:w="100"/>
              <w:right w:type="dxa" w:w="120"/>
            </w:tcMar>
            <w:vAlign w:val="center"/>
          </w:tcPr>
          <w:p>
            <w:pPr>
              <w:jc w:val="center"/>
            </w:pPr>
            <w:r>
              <w:rPr>
                <w:rFonts w:ascii="Arial" w:cs="Arial" w:eastAsia="Arial" w:hAnsi="Arial"/>
                <w:b/>
                <w:bCs/>
                <w:color w:val="FFFFFF"/>
                <w:sz w:val="17"/>
                <w:szCs w:val="17"/>
              </w:rPr>
              <w:t xml:space="preserve">☐</w:t>
            </w:r>
          </w:p>
        </w:tc>
        <w:tc>
          <w:tcPr>
            <w:tcW w:type="dxa" w:w="490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Checklist item</w:t>
            </w:r>
          </w:p>
        </w:tc>
        <w:tc>
          <w:tcPr>
            <w:tcW w:type="dxa" w:w="454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Why it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Assessment dimensions chosen deliberately — start with two (e.g., maturity and strategic importance), not six</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Every extra dimension doubles scoring effort and halves data quality.</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Scoring anchors written so a “3” means the same thing in every room</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Unanchored scores measure optimism, not maturity.</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Scores collected from multiple raters, with divergence discussed rather than averaged away</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The argument behind a split score is the insight you were mapping for.</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Heatmap produced and pressure-tested with the sponsor before wider release</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 surprising red square needs a story ready before it needs an audience.</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Capabilities linked to applications</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This gives the rationalization conversation a spine: overlap and gaps become visible per capability.</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Capabilities linked to current initiatives and budgets</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Reveals overinvested capabilities — and strategic ones nobody is funding.</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First real decision made with the map, then documented and socialized</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One demonstrated decision beats a quarter of evangelism.</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Findings summarized in a one-page narrative, not just a colored grid</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Executives repeat sentences, not spreadsheets.</w:t>
            </w:r>
          </w:p>
        </w:tc>
      </w:tr>
    </w:tbl>
    <w:p>
      <w:pPr>
        <w:pStyle w:val="Heading1"/>
        <w:keepNext/>
        <w:pBdr>
          <w:bottom w:val="single" w:color="2563EB" w:sz="12" w:space="4"/>
        </w:pBdr>
        <w:spacing w:after="80" w:before="440"/>
      </w:pPr>
      <w:r>
        <w:rPr>
          <w:rFonts w:ascii="Arial" w:cs="Arial" w:eastAsia="Arial" w:hAnsi="Arial"/>
          <w:b/>
          <w:bCs/>
          <w:color w:val="2563EB"/>
          <w:sz w:val="26"/>
          <w:szCs w:val="26"/>
        </w:rPr>
        <w:t xml:space="preserve">Phase 6</w:t>
      </w:r>
      <w:r>
        <w:rPr>
          <w:rFonts w:ascii="Arial" w:cs="Arial" w:eastAsia="Arial" w:hAnsi="Arial"/>
          <w:b/>
          <w:bCs/>
          <w:color w:val="1E293B"/>
          <w:sz w:val="26"/>
          <w:szCs w:val="26"/>
        </w:rPr>
        <w:t xml:space="preserve">  |  Operationalize</w:t>
      </w:r>
    </w:p>
    <w:p>
      <w:pPr>
        <w:keepNext/>
        <w:spacing w:after="200"/>
      </w:pPr>
      <w:r>
        <w:rPr>
          <w:rFonts w:ascii="Arial" w:cs="Arial" w:eastAsia="Arial" w:hAnsi="Arial"/>
          <w:i/>
          <w:iCs/>
          <w:color w:val="64748B"/>
          <w:sz w:val="19"/>
          <w:szCs w:val="19"/>
        </w:rPr>
        <w:t xml:space="preserve">A capability map is a product, not a project. Give it an owner, a home, a cadence, and a place in the rituals where decisions happen.</w:t>
      </w:r>
    </w:p>
    <w:tbl>
      <w:tblPr>
        <w:tblW w:type="dxa" w:w="10080"/>
        <w:tblBorders>
          <w:top w:val="single" w:color="CBD5E1" w:sz="4"/>
          <w:left w:val="single" w:color="CBD5E1" w:sz="4"/>
          <w:bottom w:val="single" w:color="CBD5E1" w:sz="4"/>
          <w:right w:val="single" w:color="CBD5E1" w:sz="4"/>
          <w:insideH w:val="single" w:color="CBD5E1" w:sz="4"/>
          <w:insideV w:val="single" w:color="CBD5E1" w:sz="4"/>
        </w:tblBorders>
      </w:tblPr>
      <w:tblGrid>
        <w:gridCol w:w="640"/>
        <w:gridCol w:w="4900"/>
        <w:gridCol w:w="4540"/>
      </w:tblGrid>
      <w:tr>
        <w:trPr>
          <w:tblHeader/>
        </w:trPr>
        <w:tc>
          <w:tcPr>
            <w:tcW w:type="dxa" w:w="640"/>
            <w:shd w:fill="1E293B" w:color="auto" w:val="clear"/>
            <w:tcMar>
              <w:top w:type="dxa" w:w="100"/>
              <w:left w:type="dxa" w:w="120"/>
              <w:bottom w:type="dxa" w:w="100"/>
              <w:right w:type="dxa" w:w="120"/>
            </w:tcMar>
            <w:vAlign w:val="center"/>
          </w:tcPr>
          <w:p>
            <w:pPr>
              <w:jc w:val="center"/>
            </w:pPr>
            <w:r>
              <w:rPr>
                <w:rFonts w:ascii="Arial" w:cs="Arial" w:eastAsia="Arial" w:hAnsi="Arial"/>
                <w:b/>
                <w:bCs/>
                <w:color w:val="FFFFFF"/>
                <w:sz w:val="17"/>
                <w:szCs w:val="17"/>
              </w:rPr>
              <w:t xml:space="preserve">☐</w:t>
            </w:r>
          </w:p>
        </w:tc>
        <w:tc>
          <w:tcPr>
            <w:tcW w:type="dxa" w:w="490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Checklist item</w:t>
            </w:r>
          </w:p>
        </w:tc>
        <w:tc>
          <w:tcPr>
            <w:tcW w:type="dxa" w:w="4540"/>
            <w:shd w:fill="1E293B" w:color="auto" w:val="clear"/>
            <w:tcMar>
              <w:top w:type="dxa" w:w="100"/>
              <w:left w:type="dxa" w:w="120"/>
              <w:bottom w:type="dxa" w:w="100"/>
              <w:right w:type="dxa" w:w="120"/>
            </w:tcMar>
            <w:vAlign w:val="center"/>
          </w:tcPr>
          <w:p>
            <w:pPr>
              <w:jc w:val="left"/>
            </w:pPr>
            <w:r>
              <w:rPr>
                <w:rFonts w:ascii="Arial" w:cs="Arial" w:eastAsia="Arial" w:hAnsi="Arial"/>
                <w:b/>
                <w:bCs/>
                <w:color w:val="FFFFFF"/>
                <w:sz w:val="17"/>
                <w:szCs w:val="17"/>
              </w:rPr>
              <w:t xml:space="preserve">Why it matters</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Stewardship assigned — one named owner for the model, plus an owner per L1 domain</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Shared ownership is no ownership; unowned maps rot in two quarters.</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Refresh cadence set — light quarterly review, deeper annual revision</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Capabilities are stable, but never static; cadence keeps trust in the content.</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Change process defined — how anyone proposes an edit, and who approves it</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An easy front door for changes prevents private forks out the back.</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System of record chosen — one master location, rogue copies retired</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The second copy is where credibility goes to die.</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Access sorted — everyone who should use the map can find it in under a minute</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 map behind a license wall or a buried folder is a map unused.</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Onboarding material created — a 15-minute intro a new stakeholder can follow alone</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The map must outlive the workshop attendees who built it.</w:t>
            </w:r>
          </w:p>
        </w:tc>
      </w:tr>
      <w:tr>
        <w:trPr>
          <w:cantSplit/>
        </w:trPr>
        <w:tc>
          <w:tcPr>
            <w:tcW w:type="dxa" w:w="640"/>
            <w:shd w:fill="FFFFFF"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FFFFF" w:color="auto" w:val="clear"/>
            <w:tcMar>
              <w:top w:type="dxa" w:w="110"/>
              <w:left w:type="dxa" w:w="120"/>
              <w:bottom w:type="dxa" w:w="110"/>
              <w:right w:type="dxa" w:w="120"/>
            </w:tcMar>
            <w:vAlign w:val="center"/>
          </w:tcPr>
          <w:p>
            <w:r>
              <w:rPr>
                <w:rFonts w:ascii="Arial" w:cs="Arial" w:eastAsia="Arial" w:hAnsi="Arial"/>
                <w:b/>
                <w:bCs/>
                <w:color w:val="F97316"/>
                <w:sz w:val="18"/>
                <w:szCs w:val="18"/>
              </w:rPr>
              <w:t xml:space="preserve">◆ </w:t>
            </w:r>
            <w:r>
              <w:rPr>
                <w:rFonts w:ascii="Arial" w:cs="Arial" w:eastAsia="Arial" w:hAnsi="Arial"/>
                <w:b w:val="false"/>
                <w:bCs w:val="false"/>
                <w:color w:val="1E293B"/>
                <w:sz w:val="20"/>
                <w:szCs w:val="20"/>
              </w:rPr>
              <w:t xml:space="preserve">Map wired into planning rituals — investment reviews, portfolio boards, architecture forums</w:t>
            </w:r>
          </w:p>
        </w:tc>
        <w:tc>
          <w:tcPr>
            <w:tcW w:type="dxa" w:w="4540"/>
            <w:shd w:fill="FFFFFF"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Adoption is an agenda item, not an email; rituals are where maps get used.</w:t>
            </w:r>
          </w:p>
        </w:tc>
      </w:tr>
      <w:tr>
        <w:trPr>
          <w:cantSplit/>
        </w:trPr>
        <w:tc>
          <w:tcPr>
            <w:tcW w:type="dxa" w:w="640"/>
            <w:shd w:fill="F1F5F9" w:color="auto" w:val="clear"/>
            <w:tcMar>
              <w:top w:type="dxa" w:w="110"/>
              <w:left w:type="dxa" w:w="120"/>
              <w:bottom w:type="dxa" w:w="110"/>
              <w:right w:type="dxa" w:w="120"/>
            </w:tcMar>
            <w:vAlign w:val="center"/>
          </w:tcPr>
          <w:p>
            <w:pPr>
              <w:jc w:val="center"/>
            </w:pPr>
            <w:r>
              <w:rPr>
                <w:rFonts w:ascii="Arial" w:cs="Arial" w:eastAsia="Arial" w:hAnsi="Arial"/>
                <w:color w:val="64748B"/>
                <w:sz w:val="24"/>
                <w:szCs w:val="24"/>
              </w:rPr>
              <w:t xml:space="preserve">☐</w:t>
            </w:r>
          </w:p>
        </w:tc>
        <w:tc>
          <w:tcPr>
            <w:tcW w:type="dxa" w:w="4900"/>
            <w:shd w:fill="F1F5F9" w:color="auto" w:val="clear"/>
            <w:tcMar>
              <w:top w:type="dxa" w:w="110"/>
              <w:left w:type="dxa" w:w="120"/>
              <w:bottom w:type="dxa" w:w="110"/>
              <w:right w:type="dxa" w:w="120"/>
            </w:tcMar>
            <w:vAlign w:val="center"/>
          </w:tcPr>
          <w:p>
            <w:r>
              <w:rPr>
                <w:rFonts w:ascii="Arial" w:cs="Arial" w:eastAsia="Arial" w:hAnsi="Arial"/>
                <w:b w:val="false"/>
                <w:bCs w:val="false"/>
                <w:color w:val="1E293B"/>
                <w:sz w:val="20"/>
                <w:szCs w:val="20"/>
              </w:rPr>
              <w:t xml:space="preserve">Usage reviewed after two quarters — if nobody consults the map, diagnose before refreshing</w:t>
            </w:r>
          </w:p>
        </w:tc>
        <w:tc>
          <w:tcPr>
            <w:tcW w:type="dxa" w:w="4540"/>
            <w:shd w:fill="F1F5F9" w:color="auto" w:val="clear"/>
            <w:tcMar>
              <w:top w:type="dxa" w:w="110"/>
              <w:left w:type="dxa" w:w="120"/>
              <w:bottom w:type="dxa" w:w="110"/>
              <w:right w:type="dxa" w:w="120"/>
            </w:tcMar>
            <w:vAlign w:val="center"/>
          </w:tcPr>
          <w:p>
            <w:r>
              <w:rPr>
                <w:rFonts w:ascii="Arial" w:cs="Arial" w:eastAsia="Arial" w:hAnsi="Arial"/>
                <w:color w:val="64748B"/>
                <w:sz w:val="19"/>
                <w:szCs w:val="19"/>
              </w:rPr>
              <w:t xml:space="preserve">Refreshing an unused map polishes the symptom and ignores the disease.</w:t>
            </w:r>
          </w:p>
        </w:tc>
      </w:tr>
    </w:tbl>
    <w:p>
      <w:r>
        <w:br w:type="page"/>
      </w:r>
    </w:p>
    <w:p>
      <w:pPr>
        <w:pStyle w:val="Heading1"/>
        <w:pBdr>
          <w:bottom w:val="single" w:color="2563EB" w:sz="12" w:space="4"/>
        </w:pBdr>
        <w:spacing w:after="60" w:before="120"/>
      </w:pPr>
      <w:r>
        <w:rPr>
          <w:rFonts w:ascii="Arial" w:cs="Arial" w:eastAsia="Arial" w:hAnsi="Arial"/>
          <w:b/>
          <w:bCs/>
          <w:color w:val="1E293B"/>
          <w:sz w:val="26"/>
          <w:szCs w:val="26"/>
        </w:rPr>
        <w:t xml:space="preserve">Going Further</w:t>
      </w:r>
    </w:p>
    <w:p>
      <w:pPr>
        <w:spacing w:after="140"/>
      </w:pPr>
      <w:r>
        <w:rPr>
          <w:rFonts w:ascii="Arial" w:cs="Arial" w:eastAsia="Arial" w:hAnsi="Arial"/>
          <w:color w:val="1E293B"/>
          <w:sz w:val="20"/>
          <w:szCs w:val="20"/>
        </w:rPr>
        <w:t xml:space="preserve">Capstera publishes free guides and tools for business architecture practitioners:</w:t>
      </w:r>
    </w:p>
    <w:p>
      <w:pPr>
        <w:spacing w:after="80"/>
        <w:ind w:left="240"/>
      </w:pPr>
      <w:r>
        <w:rPr>
          <w:rFonts w:ascii="Arial" w:cs="Arial" w:eastAsia="Arial" w:hAnsi="Arial"/>
          <w:b/>
          <w:bCs/>
          <w:color w:val="1E293B"/>
          <w:sz w:val="20"/>
          <w:szCs w:val="20"/>
        </w:rPr>
        <w:t xml:space="preserve">Capability Model Guide</w:t>
      </w:r>
      <w:r>
        <w:rPr>
          <w:rFonts w:ascii="Arial" w:cs="Arial" w:eastAsia="Arial" w:hAnsi="Arial"/>
          <w:color w:val="64748B"/>
          <w:sz w:val="20"/>
          <w:szCs w:val="20"/>
        </w:rPr>
        <w:t xml:space="preserve"> — an in-depth guide to building and structuring capability models.</w:t>
      </w:r>
    </w:p>
    <w:p>
      <w:pPr>
        <w:spacing w:after="140"/>
        <w:ind w:left="240"/>
      </w:pPr>
      <w:hyperlink w:history="1" r:id="rIdme-ph8uxdu2hg4rs6cv21">
        <w:r>
          <w:rPr>
            <w:rFonts w:ascii="Arial" w:cs="Arial" w:eastAsia="Arial" w:hAnsi="Arial"/>
            <w:color w:val="2563EB"/>
            <w:sz w:val="20"/>
            <w:szCs w:val="20"/>
            <w:u w:val="single"/>
          </w:rPr>
          <w:t xml:space="preserve">capstera.com/knowledge-hub/guides/capability-model-guide</w:t>
        </w:r>
      </w:hyperlink>
    </w:p>
    <w:p>
      <w:pPr>
        <w:spacing w:after="80"/>
        <w:ind w:left="240"/>
      </w:pPr>
      <w:r>
        <w:rPr>
          <w:rFonts w:ascii="Arial" w:cs="Arial" w:eastAsia="Arial" w:hAnsi="Arial"/>
          <w:b/>
          <w:bCs/>
          <w:color w:val="1E293B"/>
          <w:sz w:val="20"/>
          <w:szCs w:val="20"/>
        </w:rPr>
        <w:t xml:space="preserve">Capability Naming Checker</w:t>
      </w:r>
      <w:r>
        <w:rPr>
          <w:rFonts w:ascii="Arial" w:cs="Arial" w:eastAsia="Arial" w:hAnsi="Arial"/>
          <w:color w:val="64748B"/>
          <w:sz w:val="20"/>
          <w:szCs w:val="20"/>
        </w:rPr>
        <w:t xml:space="preserve"> — a free automated check of your capability names against good-practice naming rules (Phase 3, made easier).</w:t>
      </w:r>
    </w:p>
    <w:p>
      <w:pPr>
        <w:spacing w:after="140"/>
        <w:ind w:left="240"/>
      </w:pPr>
      <w:hyperlink w:history="1" r:id="rIdzbdjd-hye0cjkbvxnyqln">
        <w:r>
          <w:rPr>
            <w:rFonts w:ascii="Arial" w:cs="Arial" w:eastAsia="Arial" w:hAnsi="Arial"/>
            <w:color w:val="2563EB"/>
            <w:sz w:val="20"/>
            <w:szCs w:val="20"/>
            <w:u w:val="single"/>
          </w:rPr>
          <w:t xml:space="preserve">capstera.com/tools/naming-checker</w:t>
        </w:r>
      </w:hyperlink>
    </w:p>
    <w:p>
      <w:pPr>
        <w:spacing w:after="80"/>
        <w:ind w:left="240"/>
      </w:pPr>
      <w:r>
        <w:rPr>
          <w:rFonts w:ascii="Arial" w:cs="Arial" w:eastAsia="Arial" w:hAnsi="Arial"/>
          <w:b/>
          <w:bCs/>
          <w:color w:val="1E293B"/>
          <w:sz w:val="20"/>
          <w:szCs w:val="20"/>
        </w:rPr>
        <w:t xml:space="preserve">Capstera Store</w:t>
      </w:r>
      <w:r>
        <w:rPr>
          <w:rFonts w:ascii="Arial" w:cs="Arial" w:eastAsia="Arial" w:hAnsi="Arial"/>
          <w:color w:val="64748B"/>
          <w:sz w:val="20"/>
          <w:szCs w:val="20"/>
        </w:rPr>
        <w:t xml:space="preserve"> — industry capability maps, templates, and toolkits to accelerate your initiative.</w:t>
      </w:r>
    </w:p>
    <w:p>
      <w:pPr>
        <w:spacing w:after="300"/>
        <w:ind w:left="240"/>
      </w:pPr>
      <w:hyperlink w:history="1" r:id="rId83avvu0zydmwggr0pb-w5">
        <w:r>
          <w:rPr>
            <w:rFonts w:ascii="Arial" w:cs="Arial" w:eastAsia="Arial" w:hAnsi="Arial"/>
            <w:color w:val="2563EB"/>
            <w:sz w:val="20"/>
            <w:szCs w:val="20"/>
            <w:u w:val="single"/>
          </w:rPr>
          <w:t xml:space="preserve">capstera.com/store</w:t>
        </w:r>
      </w:hyperlink>
    </w:p>
    <w:p>
      <w:pPr>
        <w:pBdr>
          <w:top w:val="single" w:color="CBD5E1" w:sz="4"/>
          <w:bottom w:val="single" w:color="CBD5E1" w:sz="4"/>
          <w:left w:val="single" w:color="CBD5E1" w:sz="4"/>
          <w:right w:val="single" w:color="CBD5E1" w:sz="4"/>
        </w:pBdr>
        <w:shd w:fill="EFF6FF" w:color="auto" w:val="clear"/>
        <w:spacing w:after="0" w:before="200"/>
        <w:ind w:left="160" w:right="160"/>
      </w:pPr>
      <w:r>
        <w:rPr>
          <w:rFonts w:ascii="Arial" w:cs="Arial" w:eastAsia="Arial" w:hAnsi="Arial"/>
          <w:b/>
          <w:bCs/>
          <w:color w:val="1E293B"/>
          <w:sz w:val="18"/>
          <w:szCs w:val="18"/>
        </w:rPr>
        <w:t xml:space="preserve">License: </w:t>
      </w:r>
      <w:r>
        <w:rPr>
          <w:rFonts w:ascii="Arial" w:cs="Arial" w:eastAsia="Arial" w:hAnsi="Arial"/>
          <w:color w:val="1E293B"/>
          <w:sz w:val="18"/>
          <w:szCs w:val="18"/>
        </w:rPr>
        <w:t xml:space="preserve">Free to use and adapt within your organization. Provided by Capstera — capstera.com. Not for resale.</w:t>
      </w:r>
    </w:p>
    <w:sectPr>
      <w:footerReference w:type="default" r:id="rId7"/>
      <w:footerReference w:type="first" r:id="rId8"/>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tabs>
        <w:tab w:val="right" w:pos="10080"/>
      </w:tabs>
    </w:pPr>
    <w:r>
      <w:rPr>
        <w:rFonts w:ascii="Arial" w:cs="Arial" w:eastAsia="Arial" w:hAnsi="Arial"/>
        <w:color w:val="64748B"/>
        <w:sz w:val="16"/>
        <w:szCs w:val="16"/>
      </w:rPr>
      <w:t xml:space="preserve">Capstera — capstera.com</w:t>
    </w:r>
    <w:r>
      <w:rPr>
        <w:sz w:val="16"/>
        <w:szCs w:val="16"/>
      </w:rPr>
      <w:t xml:space="preserve">	</w:t>
    </w:r>
    <w:r>
      <w:rPr>
        <w:rFonts w:ascii="Arial" w:cs="Arial" w:eastAsia="Arial" w:hAnsi="Arial"/>
        <w:color w:val="64748B"/>
        <w:sz w:val="16"/>
        <w:szCs w:val="16"/>
      </w:rPr>
      <w:t xml:space="preserve">Page </w:t>
    </w:r>
    <w:r>
      <w:rPr>
        <w:rFonts w:ascii="Arial" w:cs="Arial" w:eastAsia="Arial" w:hAnsi="Arial"/>
        <w:color w:val="64748B"/>
        <w:sz w:val="16"/>
        <w:szCs w:val="16"/>
      </w:rPr>
      <w:fldChar w:fldCharType="begin"/>
      <w:instrText xml:space="preserve">PAGE</w:instrText>
      <w:fldChar w:fldCharType="separate"/>
      <w:fldChar w:fldCharType="end"/>
    </w:r>
    <w:r>
      <w:rPr>
        <w:rFonts w:ascii="Arial" w:cs="Arial" w:eastAsia="Arial" w:hAnsi="Arial"/>
        <w:color w:val="64748B"/>
        <w:sz w:val="16"/>
        <w:szCs w:val="16"/>
      </w:rPr>
      <w:t xml:space="preserve"> of </w:t>
    </w:r>
    <w:r>
      <w:rPr>
        <w:rFonts w:ascii="Arial" w:cs="Arial" w:eastAsia="Arial" w:hAnsi="Arial"/>
        <w:color w:val="64748B"/>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E293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me-ph8uxdu2hg4rs6cv21" Type="http://schemas.openxmlformats.org/officeDocument/2006/relationships/hyperlink" Target="https://capstera.com/knowledge-hub/guides/capability-model-guide" TargetMode="External"/><Relationship Id="rIdzbdjd-hye0cjkbvxnyqln" Type="http://schemas.openxmlformats.org/officeDocument/2006/relationships/hyperlink" Target="https://capstera.com/tools/naming-checker" TargetMode="External"/><Relationship Id="rId83avvu0zydmwggr0pb-w5" Type="http://schemas.openxmlformats.org/officeDocument/2006/relationships/hyperlink" Target="https://capstera.com/store" TargetMode="External"/><Relationship Id="rId9" Type="http://schemas.openxmlformats.org/officeDocument/2006/relationships/image" Target="media/5c2c87f06d928263661222852f0ff55292005d34.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Capability Mapping Project Checklist</dc:title>
  <dc:creator>Capstera</dc:creator>
  <dc:description>A phase-by-phase checklist for running a capability mapping initiative from kickoff to adoption. A Capstera checklist.</dc:description>
  <cp:lastModifiedBy>Un-named</cp:lastModifiedBy>
  <cp:revision>1</cp:revision>
  <dcterms:created xsi:type="dcterms:W3CDTF">2026-08-09T11:01:01.445Z</dcterms:created>
  <dcterms:modified xsi:type="dcterms:W3CDTF">2026-08-09T11:01:01.445Z</dcterms:modified>
</cp:coreProperties>
</file>

<file path=docProps/custom.xml><?xml version="1.0" encoding="utf-8"?>
<Properties xmlns="http://schemas.openxmlformats.org/officeDocument/2006/custom-properties" xmlns:vt="http://schemas.openxmlformats.org/officeDocument/2006/docPropsVTypes"/>
</file>